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DD7" w:rsidRPr="00980DD7" w:rsidRDefault="00980DD7" w:rsidP="00980DD7">
      <w:r w:rsidRPr="00980DD7">
        <w:rPr>
          <w:b/>
          <w:bCs/>
        </w:rPr>
        <w:t>3. Видове банков кредити и етапи на кредитния процес</w:t>
      </w:r>
    </w:p>
    <w:p w:rsidR="00980DD7" w:rsidRPr="00980DD7" w:rsidRDefault="00980DD7" w:rsidP="00980DD7">
      <w:r w:rsidRPr="00980DD7">
        <w:t> </w:t>
      </w:r>
    </w:p>
    <w:p w:rsidR="00980DD7" w:rsidRPr="00980DD7" w:rsidRDefault="00980DD7" w:rsidP="00980DD7">
      <w:r w:rsidRPr="00980DD7">
        <w:t>Банковите кредити обикновено се класифицират според различни признаци:</w:t>
      </w:r>
    </w:p>
    <w:p w:rsidR="00980DD7" w:rsidRPr="00980DD7" w:rsidRDefault="00980DD7" w:rsidP="00980DD7">
      <w:r w:rsidRPr="00980DD7">
        <w:t xml:space="preserve">1. според срока биват </w:t>
      </w:r>
      <w:r w:rsidRPr="00980DD7">
        <w:rPr>
          <w:i/>
          <w:iCs/>
        </w:rPr>
        <w:t xml:space="preserve">краткосрочни </w:t>
      </w:r>
      <w:r w:rsidRPr="00980DD7">
        <w:t>(до 1 г.),</w:t>
      </w:r>
      <w:r w:rsidRPr="00980DD7">
        <w:rPr>
          <w:i/>
          <w:iCs/>
        </w:rPr>
        <w:t xml:space="preserve"> средносрочни</w:t>
      </w:r>
      <w:r w:rsidRPr="00980DD7">
        <w:t xml:space="preserve"> ( до 3-5 г.) и </w:t>
      </w:r>
      <w:r w:rsidRPr="00980DD7">
        <w:rPr>
          <w:i/>
          <w:iCs/>
        </w:rPr>
        <w:t xml:space="preserve">дългосрочни </w:t>
      </w:r>
      <w:r w:rsidRPr="00980DD7">
        <w:t>(над 5 г.).</w:t>
      </w:r>
    </w:p>
    <w:p w:rsidR="00980DD7" w:rsidRPr="00980DD7" w:rsidRDefault="00980DD7" w:rsidP="00980DD7">
      <w:r w:rsidRPr="00980DD7">
        <w:t xml:space="preserve">2. според обезпечението си биват </w:t>
      </w:r>
      <w:r w:rsidRPr="00980DD7">
        <w:rPr>
          <w:i/>
          <w:iCs/>
        </w:rPr>
        <w:t>необезпечени</w:t>
      </w:r>
      <w:r w:rsidRPr="00980DD7">
        <w:t xml:space="preserve"> (бланкови) и </w:t>
      </w:r>
      <w:r w:rsidRPr="00980DD7">
        <w:rPr>
          <w:i/>
          <w:iCs/>
        </w:rPr>
        <w:t>обезпечени</w:t>
      </w:r>
      <w:r w:rsidRPr="00980DD7">
        <w:t xml:space="preserve"> по различен начин - чрез поръчителство, чрез стоково-материални ценности (производствени запаси или стоки), чрез залог на движимо имущество (главно ценни книжа, благородни метали, валута и др.) и недвижимо имущество - чрез ипотека на земя, сгради и др.</w:t>
      </w:r>
    </w:p>
    <w:p w:rsidR="00980DD7" w:rsidRPr="00980DD7" w:rsidRDefault="00980DD7" w:rsidP="00980DD7">
      <w:r w:rsidRPr="00980DD7">
        <w:t>3. Според отрасловата насоченост биват за индустрията, търговията, селското стопанство и т. н.</w:t>
      </w:r>
    </w:p>
    <w:p w:rsidR="00980DD7" w:rsidRPr="00980DD7" w:rsidRDefault="00980DD7" w:rsidP="00980DD7">
      <w:r w:rsidRPr="00980DD7">
        <w:t>4. Според потребностите, които задоволяват биват потребителски (консумативни) кредити и кредити с производствено предназначение (предприемачески)</w:t>
      </w:r>
    </w:p>
    <w:p w:rsidR="00980DD7" w:rsidRPr="00980DD7" w:rsidRDefault="00980DD7" w:rsidP="00980DD7">
      <w:r w:rsidRPr="00980DD7">
        <w:t xml:space="preserve">5. Според начина на предоставяне и погасяване биват </w:t>
      </w:r>
      <w:r w:rsidRPr="00980DD7">
        <w:rPr>
          <w:i/>
          <w:iCs/>
        </w:rPr>
        <w:t>закрити</w:t>
      </w:r>
      <w:r w:rsidRPr="00980DD7">
        <w:t xml:space="preserve"> (затворени) и </w:t>
      </w:r>
      <w:r w:rsidRPr="00980DD7">
        <w:rPr>
          <w:i/>
          <w:iCs/>
        </w:rPr>
        <w:t xml:space="preserve">открити </w:t>
      </w:r>
      <w:r w:rsidRPr="00980DD7">
        <w:t>(отворени) кредити. При закритите сумата се предоставя еднократно като цяла сума и след определено време се погасява съгласно договорените условия. При откритите сумата на кредита се предоставя и погасява периодически на части. Те са свързани с т. нар. кредитна линия, която представлява договорен размер банков кредит, който се ползва на части по предварително договорени условия. Предоставянето на отделните части се нарича траншове.</w:t>
      </w:r>
    </w:p>
    <w:p w:rsidR="00980DD7" w:rsidRPr="00980DD7" w:rsidRDefault="00980DD7" w:rsidP="00980DD7">
      <w:r w:rsidRPr="00980DD7">
        <w:t>6. Според формата на банковия кредит биват:</w:t>
      </w:r>
    </w:p>
    <w:p w:rsidR="00980DD7" w:rsidRPr="00980DD7" w:rsidRDefault="00980DD7" w:rsidP="009819CF">
      <w:pPr>
        <w:numPr>
          <w:ilvl w:val="0"/>
          <w:numId w:val="1"/>
        </w:numPr>
      </w:pPr>
      <w:r w:rsidRPr="00980DD7">
        <w:rPr>
          <w:i/>
          <w:iCs/>
        </w:rPr>
        <w:t>заем по текуща сметка</w:t>
      </w:r>
      <w:r w:rsidRPr="00980DD7">
        <w:t xml:space="preserve"> наречен още </w:t>
      </w:r>
      <w:r w:rsidRPr="00980DD7">
        <w:rPr>
          <w:i/>
          <w:iCs/>
        </w:rPr>
        <w:t xml:space="preserve">контокорентен </w:t>
      </w:r>
      <w:r w:rsidRPr="00980DD7">
        <w:t xml:space="preserve">или </w:t>
      </w:r>
      <w:r w:rsidRPr="00980DD7">
        <w:rPr>
          <w:i/>
          <w:iCs/>
        </w:rPr>
        <w:t>овърдрафт</w:t>
      </w:r>
      <w:r w:rsidRPr="00980DD7">
        <w:t xml:space="preserve">. Това една от най-разпространените форми на банково кредитиране. Основа за неговото предоставен е наличието на текуща сметка на фирмата в банката, чрез която банката и фирмата взаимно уреждат вземанията и задълженията си. По нея се съхраняват собствените средства на фирмата, по нея постъпват паричните постъпления след реализация на нейната продукция, и от нея се извършват всички плащания. При нормални условия сметката има кредитно салдо и показва с какви собствени средства разполага фирмата в даден момент. В случай на договореност между банката и фирмата последната може да извършва плащания дори да няма разполагаеми суми по текущата сметка. Това означава, че плащанията от сметката надхвърлят наличните постъпления, салдото става дебитно и изразява дълг на фирмата към банката. Този дълг всъщност изразява размера на ползвания заем по текущата сметка. Кредитът обикновено се ползва в рамките на определен </w:t>
      </w:r>
      <w:r w:rsidRPr="00980DD7">
        <w:rPr>
          <w:i/>
          <w:iCs/>
        </w:rPr>
        <w:t>кредитен лими</w:t>
      </w:r>
      <w:r w:rsidRPr="00980DD7">
        <w:t>т, който показва максималният размер, до който фирмата може да извършва плащания без да има собствени наличности по сметката. Дълга на фирмата към банката се изменя непрекъснато, тъй като част от него постоянно се погасява от съответните постъпления по текущата сметка. Кредитът по принцип е краткосрочен, но съществуват възможности за продължаване срока на ползването му. Би могъл да бъде бланков (необезпечен), но банките могат да поискат срещу отпускането му определено обезпечение. При този заем банките имат висока степен на информираност за клиентите си на основата на постоянния поглед върху състоянието на текущите им сметки.</w:t>
      </w:r>
    </w:p>
    <w:p w:rsidR="00980DD7" w:rsidRPr="00980DD7" w:rsidRDefault="00980DD7" w:rsidP="009819CF">
      <w:pPr>
        <w:numPr>
          <w:ilvl w:val="0"/>
          <w:numId w:val="1"/>
        </w:numPr>
      </w:pPr>
      <w:r w:rsidRPr="00980DD7">
        <w:rPr>
          <w:i/>
          <w:iCs/>
        </w:rPr>
        <w:t xml:space="preserve">сконтов кредит </w:t>
      </w:r>
      <w:r w:rsidRPr="00980DD7">
        <w:t xml:space="preserve">- произтича от сделките, свързани с търговското (фирменото или стоковото) кредитиране между фирмите. Длъжникът по търговският кредит подписва полица (менителница), с което се задължава да плати на нейния приносител </w:t>
      </w:r>
      <w:r w:rsidRPr="00980DD7">
        <w:lastRenderedPageBreak/>
        <w:t xml:space="preserve">определена сума след определено време. От своя страна притежателят на полицата при нужда може да я продаде (сконтира) в някаква банка преди изтичане на падежа й и да получи стойността на полицата. Така банката става собственик на полицата, т. е. действителен кредитор по сделката, с което търговския кредит се превръща в банков. Сумата, която тя изплаща на продавача на полицата ще бъде по-малка от номиналната, защото банката си приспада съответна сума наречена </w:t>
      </w:r>
      <w:r w:rsidRPr="00980DD7">
        <w:rPr>
          <w:i/>
          <w:iCs/>
        </w:rPr>
        <w:t>сконто</w:t>
      </w:r>
      <w:r w:rsidRPr="00980DD7">
        <w:t>. Банката ще получи номиналната стойност на полицата в деня на падежа й от съответния длъжник. Разликата между номинала и действително изплатената сума (номинала - сконтото) е доход за банката.</w:t>
      </w:r>
    </w:p>
    <w:p w:rsidR="00980DD7" w:rsidRPr="00980DD7" w:rsidRDefault="00980DD7" w:rsidP="009819CF">
      <w:pPr>
        <w:numPr>
          <w:ilvl w:val="0"/>
          <w:numId w:val="1"/>
        </w:numPr>
      </w:pPr>
      <w:r w:rsidRPr="00980DD7">
        <w:rPr>
          <w:i/>
          <w:iCs/>
        </w:rPr>
        <w:t>ломбарден кредит</w:t>
      </w:r>
      <w:r w:rsidRPr="00980DD7">
        <w:t xml:space="preserve">, при който банката предоставя на клиента еднократно точно определена твърда сума за точно определен срок срещу </w:t>
      </w:r>
      <w:r w:rsidRPr="00980DD7">
        <w:rPr>
          <w:i/>
          <w:iCs/>
        </w:rPr>
        <w:t>залог на движими ценности</w:t>
      </w:r>
      <w:r w:rsidRPr="00980DD7">
        <w:rPr>
          <w:b/>
          <w:bCs/>
        </w:rPr>
        <w:t xml:space="preserve"> </w:t>
      </w:r>
      <w:r w:rsidRPr="00980DD7">
        <w:t>- най- често ценни книжа. Те не стават собственост на банката, а само гарантират погасяването на дълга. Ако това не стане тя има право да продаде залога и да възстанови вземането си. След погасяването на кредита се връща и залога. За да намали кредитния риск стойността на отпуснатия кредит е винаги по-малка от стойността на залога. Ломбардните кредити са преобладаващо краткосрочни.</w:t>
      </w:r>
    </w:p>
    <w:p w:rsidR="00980DD7" w:rsidRPr="00980DD7" w:rsidRDefault="00980DD7" w:rsidP="009819CF">
      <w:pPr>
        <w:numPr>
          <w:ilvl w:val="0"/>
          <w:numId w:val="1"/>
        </w:numPr>
      </w:pPr>
      <w:r w:rsidRPr="00980DD7">
        <w:rPr>
          <w:i/>
          <w:iCs/>
        </w:rPr>
        <w:t>акцептен кредит</w:t>
      </w:r>
      <w:r w:rsidRPr="00980DD7">
        <w:t xml:space="preserve"> - характеризира се с това, че банката първоначално предоставя на клиента си не пари, а продава своя подпис. Клиентът издава менителница, която банката акцептира, т. е. тя се съгласява да изплати на приносителя на акцептираната полица съответната сума в деня на падежа. Разполагайки с банковия акцепт, длъжникът може да погаси свои дългове към други фирми или банки, прехвърляйки им акцептираната от банката полица. В дена на нейния падеж банката-акцептант се задължава да изплати акцептираната полица на кредитора (последния й приносител ), разчитайки, че преди това длъжника, на който е даден банковия акцепт ще внесе съответната сума в банката. Така тя поема само евентуални задължения , защото в деня на падежа обикновено не плаща със свои собствени средства. Печалбата за банката е в това длъжника внася в банката сума по-голяма от стойността на банковия акцепт. Тази разлика се нарича акцептна комисионна.</w:t>
      </w:r>
    </w:p>
    <w:p w:rsidR="00980DD7" w:rsidRPr="00980DD7" w:rsidRDefault="00980DD7" w:rsidP="009819CF">
      <w:pPr>
        <w:numPr>
          <w:ilvl w:val="0"/>
          <w:numId w:val="1"/>
        </w:numPr>
      </w:pPr>
      <w:r w:rsidRPr="00980DD7">
        <w:rPr>
          <w:i/>
          <w:iCs/>
        </w:rPr>
        <w:t>авалов кредит</w:t>
      </w:r>
      <w:r w:rsidRPr="00980DD7">
        <w:t xml:space="preserve"> - кредит срещу гаранция, поръчителство.</w:t>
      </w:r>
    </w:p>
    <w:p w:rsidR="00980DD7" w:rsidRPr="00980DD7" w:rsidRDefault="00980DD7" w:rsidP="00980DD7">
      <w:r w:rsidRPr="00980DD7">
        <w:t xml:space="preserve">Всяка кредитна сделка протича при утвърдени от самата банка кредитни процедури. Те включват най-общо следните </w:t>
      </w:r>
      <w:r w:rsidRPr="00980DD7">
        <w:rPr>
          <w:i/>
          <w:iCs/>
        </w:rPr>
        <w:t>етапи на кредитния процес</w:t>
      </w:r>
      <w:r w:rsidRPr="00980DD7">
        <w:t>:</w:t>
      </w:r>
    </w:p>
    <w:p w:rsidR="00980DD7" w:rsidRPr="00980DD7" w:rsidRDefault="00980DD7" w:rsidP="00980DD7">
      <w:r w:rsidRPr="00980DD7">
        <w:rPr>
          <w:i/>
          <w:iCs/>
        </w:rPr>
        <w:t>1. Подаване на искане (заявление) за кредит:</w:t>
      </w:r>
    </w:p>
    <w:p w:rsidR="00980DD7" w:rsidRPr="00980DD7" w:rsidRDefault="00980DD7" w:rsidP="009819CF">
      <w:pPr>
        <w:numPr>
          <w:ilvl w:val="0"/>
          <w:numId w:val="2"/>
        </w:numPr>
      </w:pPr>
      <w:r w:rsidRPr="00980DD7">
        <w:t>данни за кредитополучателя (наименование, регистрация, седалище, адрес др.);</w:t>
      </w:r>
    </w:p>
    <w:p w:rsidR="00980DD7" w:rsidRPr="00980DD7" w:rsidRDefault="00980DD7" w:rsidP="009819CF">
      <w:pPr>
        <w:numPr>
          <w:ilvl w:val="0"/>
          <w:numId w:val="2"/>
        </w:numPr>
      </w:pPr>
      <w:r w:rsidRPr="00980DD7">
        <w:t>данни за искания кредит (размер, цел начин за ползване, източници и срокове за погасяване);</w:t>
      </w:r>
    </w:p>
    <w:p w:rsidR="00980DD7" w:rsidRPr="00980DD7" w:rsidRDefault="00980DD7" w:rsidP="009819CF">
      <w:pPr>
        <w:numPr>
          <w:ilvl w:val="0"/>
          <w:numId w:val="2"/>
        </w:numPr>
      </w:pPr>
      <w:r w:rsidRPr="00980DD7">
        <w:t>предлагано обезпечение (залог на движими ценности, ипотека на недвижимо имущество, поръчителство, гаранции);</w:t>
      </w:r>
    </w:p>
    <w:p w:rsidR="00980DD7" w:rsidRPr="00980DD7" w:rsidRDefault="00980DD7" w:rsidP="00980DD7">
      <w:r w:rsidRPr="00980DD7">
        <w:t>2. Провеждане на разговор (интервю) с клиента;</w:t>
      </w:r>
    </w:p>
    <w:p w:rsidR="00980DD7" w:rsidRPr="00980DD7" w:rsidRDefault="00980DD7" w:rsidP="00980DD7">
      <w:r w:rsidRPr="00980DD7">
        <w:t>3. Представяне на необходимите документи:</w:t>
      </w:r>
    </w:p>
    <w:p w:rsidR="00980DD7" w:rsidRPr="00980DD7" w:rsidRDefault="00980DD7" w:rsidP="00980DD7">
      <w:r w:rsidRPr="00980DD7">
        <w:t>Документи за удостоверяване правния статут  на кредитоискателя;</w:t>
      </w:r>
    </w:p>
    <w:p w:rsidR="00980DD7" w:rsidRPr="00980DD7" w:rsidRDefault="00980DD7" w:rsidP="009819CF">
      <w:pPr>
        <w:numPr>
          <w:ilvl w:val="0"/>
          <w:numId w:val="3"/>
        </w:numPr>
      </w:pPr>
      <w:r w:rsidRPr="00980DD7">
        <w:lastRenderedPageBreak/>
        <w:t>Финансови отчети  - обикновено за последните три години (баланс, отчети за доходите и разходите, за паричните потоци, за движение на собствения капитал);</w:t>
      </w:r>
    </w:p>
    <w:p w:rsidR="00980DD7" w:rsidRPr="00980DD7" w:rsidRDefault="00980DD7" w:rsidP="009819CF">
      <w:pPr>
        <w:numPr>
          <w:ilvl w:val="0"/>
          <w:numId w:val="3"/>
        </w:numPr>
      </w:pPr>
      <w:r w:rsidRPr="00980DD7">
        <w:t>Икономическа обосновка (Бизнес план);</w:t>
      </w:r>
    </w:p>
    <w:p w:rsidR="00980DD7" w:rsidRPr="00980DD7" w:rsidRDefault="00980DD7" w:rsidP="009819CF">
      <w:pPr>
        <w:numPr>
          <w:ilvl w:val="0"/>
          <w:numId w:val="3"/>
        </w:numPr>
      </w:pPr>
      <w:r w:rsidRPr="00980DD7">
        <w:t>Декларация за открити банкови сметки в др. банки, ползвани кредити от др. банки и за задължения към държавата и др. контрагенти;</w:t>
      </w:r>
    </w:p>
    <w:p w:rsidR="00980DD7" w:rsidRPr="00980DD7" w:rsidRDefault="00980DD7" w:rsidP="009819CF">
      <w:pPr>
        <w:numPr>
          <w:ilvl w:val="0"/>
          <w:numId w:val="3"/>
        </w:numPr>
      </w:pPr>
      <w:r w:rsidRPr="00980DD7">
        <w:t>Декларация за свързани лица;</w:t>
      </w:r>
    </w:p>
    <w:p w:rsidR="00980DD7" w:rsidRPr="00980DD7" w:rsidRDefault="00980DD7" w:rsidP="009819CF">
      <w:pPr>
        <w:numPr>
          <w:ilvl w:val="0"/>
          <w:numId w:val="3"/>
        </w:numPr>
      </w:pPr>
      <w:r w:rsidRPr="00980DD7">
        <w:t>Декларация за гражданско и имуществено състояние;</w:t>
      </w:r>
    </w:p>
    <w:p w:rsidR="00980DD7" w:rsidRPr="00980DD7" w:rsidRDefault="00980DD7" w:rsidP="009819CF">
      <w:pPr>
        <w:numPr>
          <w:ilvl w:val="0"/>
          <w:numId w:val="3"/>
        </w:numPr>
      </w:pPr>
      <w:r w:rsidRPr="00980DD7">
        <w:t>Документи, удостоверяващи собствеността на обезпечението и неговите застраховки;</w:t>
      </w:r>
    </w:p>
    <w:p w:rsidR="00980DD7" w:rsidRPr="00980DD7" w:rsidRDefault="00980DD7" w:rsidP="009819CF">
      <w:pPr>
        <w:numPr>
          <w:ilvl w:val="0"/>
          <w:numId w:val="3"/>
        </w:numPr>
      </w:pPr>
      <w:r w:rsidRPr="00980DD7">
        <w:t>Пълномощие от представител на фирмата, който ще преговаря с банката;</w:t>
      </w:r>
    </w:p>
    <w:p w:rsidR="00980DD7" w:rsidRPr="00980DD7" w:rsidRDefault="00980DD7" w:rsidP="00980DD7">
      <w:r w:rsidRPr="00980DD7">
        <w:t xml:space="preserve">4. </w:t>
      </w:r>
      <w:r w:rsidRPr="00980DD7">
        <w:rPr>
          <w:i/>
          <w:iCs/>
        </w:rPr>
        <w:t>Кредитен анализ</w:t>
      </w:r>
      <w:r w:rsidRPr="00980DD7">
        <w:t xml:space="preserve"> - анализ и оценка кредитната надеждност на кредитоискателя (способността и готовността му да погаси задълженията си към банката);</w:t>
      </w:r>
    </w:p>
    <w:p w:rsidR="00980DD7" w:rsidRPr="00980DD7" w:rsidRDefault="00980DD7" w:rsidP="00980DD7">
      <w:r w:rsidRPr="00980DD7">
        <w:t xml:space="preserve">5. </w:t>
      </w:r>
      <w:r w:rsidRPr="00980DD7">
        <w:rPr>
          <w:i/>
          <w:iCs/>
        </w:rPr>
        <w:t>Решение за предоставяне на кредит;</w:t>
      </w:r>
    </w:p>
    <w:p w:rsidR="00980DD7" w:rsidRPr="00980DD7" w:rsidRDefault="00980DD7" w:rsidP="00980DD7">
      <w:r w:rsidRPr="00980DD7">
        <w:rPr>
          <w:i/>
          <w:iCs/>
        </w:rPr>
        <w:t xml:space="preserve">6. Сключване на кредитен договор: </w:t>
      </w:r>
    </w:p>
    <w:p w:rsidR="00980DD7" w:rsidRPr="00980DD7" w:rsidRDefault="00980DD7" w:rsidP="009819CF">
      <w:pPr>
        <w:numPr>
          <w:ilvl w:val="0"/>
          <w:numId w:val="4"/>
        </w:numPr>
      </w:pPr>
      <w:r w:rsidRPr="00980DD7">
        <w:t>предмет и цел на договора,</w:t>
      </w:r>
    </w:p>
    <w:p w:rsidR="00980DD7" w:rsidRPr="00980DD7" w:rsidRDefault="00980DD7" w:rsidP="009819CF">
      <w:pPr>
        <w:numPr>
          <w:ilvl w:val="0"/>
          <w:numId w:val="4"/>
        </w:numPr>
      </w:pPr>
      <w:r w:rsidRPr="00980DD7">
        <w:t>условия за ползване и обслужване на кредита,</w:t>
      </w:r>
    </w:p>
    <w:p w:rsidR="00980DD7" w:rsidRPr="00980DD7" w:rsidRDefault="00980DD7" w:rsidP="009819CF">
      <w:pPr>
        <w:numPr>
          <w:ilvl w:val="0"/>
          <w:numId w:val="4"/>
        </w:numPr>
      </w:pPr>
      <w:r w:rsidRPr="00980DD7">
        <w:t>издължаване на кредита,</w:t>
      </w:r>
    </w:p>
    <w:p w:rsidR="00980DD7" w:rsidRPr="00980DD7" w:rsidRDefault="00980DD7" w:rsidP="009819CF">
      <w:pPr>
        <w:numPr>
          <w:ilvl w:val="0"/>
          <w:numId w:val="4"/>
        </w:numPr>
      </w:pPr>
      <w:r w:rsidRPr="00980DD7">
        <w:t>олихвяване,</w:t>
      </w:r>
    </w:p>
    <w:p w:rsidR="00980DD7" w:rsidRPr="00980DD7" w:rsidRDefault="00980DD7" w:rsidP="009819CF">
      <w:pPr>
        <w:numPr>
          <w:ilvl w:val="0"/>
          <w:numId w:val="4"/>
        </w:numPr>
      </w:pPr>
      <w:r w:rsidRPr="00980DD7">
        <w:t>погасителен план,</w:t>
      </w:r>
    </w:p>
    <w:p w:rsidR="00980DD7" w:rsidRPr="00980DD7" w:rsidRDefault="00980DD7" w:rsidP="009819CF">
      <w:pPr>
        <w:numPr>
          <w:ilvl w:val="0"/>
          <w:numId w:val="4"/>
        </w:numPr>
      </w:pPr>
      <w:r w:rsidRPr="00980DD7">
        <w:t>обезпечение на кредита,</w:t>
      </w:r>
    </w:p>
    <w:p w:rsidR="00980DD7" w:rsidRPr="00980DD7" w:rsidRDefault="00980DD7" w:rsidP="009819CF">
      <w:pPr>
        <w:numPr>
          <w:ilvl w:val="0"/>
          <w:numId w:val="4"/>
        </w:numPr>
      </w:pPr>
      <w:r w:rsidRPr="00980DD7">
        <w:t>задължения на страните, отговорност и санкции, други клаузи);</w:t>
      </w:r>
    </w:p>
    <w:p w:rsidR="00980DD7" w:rsidRPr="00980DD7" w:rsidRDefault="00980DD7" w:rsidP="009819CF">
      <w:pPr>
        <w:numPr>
          <w:ilvl w:val="0"/>
          <w:numId w:val="4"/>
        </w:numPr>
      </w:pPr>
      <w:r w:rsidRPr="00980DD7">
        <w:t>Кредитно досие (всички документи, касаещи съответния кредит и клиент);</w:t>
      </w:r>
    </w:p>
    <w:p w:rsidR="00980DD7" w:rsidRPr="00980DD7" w:rsidRDefault="00980DD7" w:rsidP="00980DD7">
      <w:r w:rsidRPr="00980DD7">
        <w:t>7. Мониторинг (наблюдение) на кредита:</w:t>
      </w:r>
    </w:p>
    <w:p w:rsidR="00980DD7" w:rsidRPr="00980DD7" w:rsidRDefault="00980DD7" w:rsidP="009819CF">
      <w:pPr>
        <w:numPr>
          <w:ilvl w:val="0"/>
          <w:numId w:val="5"/>
        </w:numPr>
      </w:pPr>
      <w:r w:rsidRPr="00980DD7">
        <w:t>Текущо наблюдение на:</w:t>
      </w:r>
    </w:p>
    <w:p w:rsidR="00980DD7" w:rsidRPr="00980DD7" w:rsidRDefault="00980DD7" w:rsidP="009819CF">
      <w:pPr>
        <w:numPr>
          <w:ilvl w:val="1"/>
          <w:numId w:val="5"/>
        </w:numPr>
      </w:pPr>
      <w:r w:rsidRPr="00980DD7">
        <w:t>състоянието и изменението на кредитния рейтинг на длъжника,</w:t>
      </w:r>
    </w:p>
    <w:p w:rsidR="00980DD7" w:rsidRPr="00980DD7" w:rsidRDefault="00980DD7" w:rsidP="009819CF">
      <w:pPr>
        <w:numPr>
          <w:ilvl w:val="1"/>
          <w:numId w:val="5"/>
        </w:numPr>
      </w:pPr>
      <w:r w:rsidRPr="00980DD7">
        <w:t>спазване условията на кредитния договор,</w:t>
      </w:r>
    </w:p>
    <w:p w:rsidR="00980DD7" w:rsidRPr="00980DD7" w:rsidRDefault="00980DD7" w:rsidP="009819CF">
      <w:pPr>
        <w:numPr>
          <w:ilvl w:val="1"/>
          <w:numId w:val="5"/>
        </w:numPr>
      </w:pPr>
      <w:r w:rsidRPr="00980DD7">
        <w:t>промени в стойността на обезпечението,</w:t>
      </w:r>
    </w:p>
    <w:p w:rsidR="00980DD7" w:rsidRPr="00980DD7" w:rsidRDefault="00980DD7" w:rsidP="009819CF">
      <w:pPr>
        <w:numPr>
          <w:ilvl w:val="1"/>
          <w:numId w:val="5"/>
        </w:numPr>
      </w:pPr>
      <w:r w:rsidRPr="00980DD7">
        <w:t>наличието на външни симптоми (индикатори) за ранно предупреждение</w:t>
      </w:r>
    </w:p>
    <w:p w:rsidR="00980DD7" w:rsidRPr="00980DD7" w:rsidRDefault="00980DD7" w:rsidP="009819CF">
      <w:pPr>
        <w:numPr>
          <w:ilvl w:val="0"/>
          <w:numId w:val="5"/>
        </w:numPr>
      </w:pPr>
      <w:r w:rsidRPr="00980DD7">
        <w:t>Периодическа класификация на кредита и неговото провизиране;</w:t>
      </w:r>
    </w:p>
    <w:p w:rsidR="00980DD7" w:rsidRPr="00980DD7" w:rsidRDefault="00980DD7" w:rsidP="009819CF">
      <w:pPr>
        <w:numPr>
          <w:ilvl w:val="0"/>
          <w:numId w:val="5"/>
        </w:numPr>
      </w:pPr>
      <w:r w:rsidRPr="00980DD7">
        <w:t>Периодични проверки на място;</w:t>
      </w:r>
    </w:p>
    <w:p w:rsidR="00980DD7" w:rsidRPr="00980DD7" w:rsidRDefault="00980DD7" w:rsidP="00980DD7">
      <w:r w:rsidRPr="00980DD7">
        <w:t>8.</w:t>
      </w:r>
      <w:r w:rsidRPr="00980DD7">
        <w:rPr>
          <w:b/>
          <w:bCs/>
          <w:i/>
          <w:iCs/>
        </w:rPr>
        <w:t xml:space="preserve"> </w:t>
      </w:r>
      <w:r w:rsidRPr="00980DD7">
        <w:t>Събиране на кредита - при работа с проблемните кредити съществуват различни алтернативи:</w:t>
      </w:r>
    </w:p>
    <w:p w:rsidR="00980DD7" w:rsidRPr="00980DD7" w:rsidRDefault="00980DD7" w:rsidP="009819CF">
      <w:pPr>
        <w:numPr>
          <w:ilvl w:val="0"/>
          <w:numId w:val="6"/>
        </w:numPr>
      </w:pPr>
      <w:r w:rsidRPr="00980DD7">
        <w:t>незабавно събиране на главницата и лихвите;</w:t>
      </w:r>
    </w:p>
    <w:p w:rsidR="00980DD7" w:rsidRPr="00980DD7" w:rsidRDefault="00980DD7" w:rsidP="009819CF">
      <w:pPr>
        <w:numPr>
          <w:ilvl w:val="0"/>
          <w:numId w:val="6"/>
        </w:numPr>
      </w:pPr>
      <w:r w:rsidRPr="00980DD7">
        <w:lastRenderedPageBreak/>
        <w:t>преструктуриране погасителния план;</w:t>
      </w:r>
    </w:p>
    <w:p w:rsidR="00980DD7" w:rsidRPr="00980DD7" w:rsidRDefault="00980DD7" w:rsidP="009819CF">
      <w:pPr>
        <w:numPr>
          <w:ilvl w:val="0"/>
          <w:numId w:val="6"/>
        </w:numPr>
      </w:pPr>
      <w:r w:rsidRPr="00980DD7">
        <w:t>разсрочване на плащанията по главницата или лихвите във времето;</w:t>
      </w:r>
    </w:p>
    <w:p w:rsidR="00980DD7" w:rsidRPr="00980DD7" w:rsidRDefault="00980DD7" w:rsidP="009819CF">
      <w:pPr>
        <w:numPr>
          <w:ilvl w:val="0"/>
          <w:numId w:val="6"/>
        </w:numPr>
      </w:pPr>
      <w:r w:rsidRPr="00980DD7">
        <w:t>рефинансиране на дълга;</w:t>
      </w:r>
    </w:p>
    <w:p w:rsidR="00980DD7" w:rsidRPr="00980DD7" w:rsidRDefault="00980DD7" w:rsidP="009819CF">
      <w:pPr>
        <w:numPr>
          <w:ilvl w:val="0"/>
          <w:numId w:val="6"/>
        </w:numPr>
      </w:pPr>
      <w:r w:rsidRPr="00980DD7">
        <w:t>отписване на кредита и продажба на обезпечението;</w:t>
      </w:r>
    </w:p>
    <w:p w:rsidR="00C33B71" w:rsidRDefault="00C33B71" w:rsidP="00980DD7"/>
    <w:p w:rsidR="009819CF" w:rsidRPr="009819CF" w:rsidRDefault="009819CF" w:rsidP="009819CF">
      <w:pPr>
        <w:rPr>
          <w:b/>
          <w:bCs/>
        </w:rPr>
      </w:pPr>
      <w:r w:rsidRPr="009819CF">
        <w:rPr>
          <w:b/>
          <w:bCs/>
        </w:rPr>
        <w:t>Ключови думи и понятия</w:t>
      </w:r>
    </w:p>
    <w:p w:rsidR="009819CF" w:rsidRPr="009819CF" w:rsidRDefault="009819CF" w:rsidP="009819CF">
      <w:r w:rsidRPr="009819CF">
        <w:t> </w:t>
      </w:r>
    </w:p>
    <w:p w:rsidR="009819CF" w:rsidRPr="009819CF" w:rsidRDefault="009819CF" w:rsidP="009819CF">
      <w:pPr>
        <w:numPr>
          <w:ilvl w:val="0"/>
          <w:numId w:val="7"/>
        </w:numPr>
      </w:pPr>
      <w:r w:rsidRPr="009819CF">
        <w:t>Търговка банка</w:t>
      </w:r>
    </w:p>
    <w:p w:rsidR="009819CF" w:rsidRPr="009819CF" w:rsidRDefault="009819CF" w:rsidP="009819CF">
      <w:pPr>
        <w:numPr>
          <w:ilvl w:val="0"/>
          <w:numId w:val="7"/>
        </w:numPr>
      </w:pPr>
      <w:r w:rsidRPr="009819CF">
        <w:t>Банкови активи</w:t>
      </w:r>
    </w:p>
    <w:p w:rsidR="009819CF" w:rsidRPr="009819CF" w:rsidRDefault="009819CF" w:rsidP="009819CF">
      <w:pPr>
        <w:numPr>
          <w:ilvl w:val="0"/>
          <w:numId w:val="7"/>
        </w:numPr>
      </w:pPr>
      <w:r w:rsidRPr="009819CF">
        <w:t>Банкови пасиви</w:t>
      </w:r>
    </w:p>
    <w:p w:rsidR="009819CF" w:rsidRPr="009819CF" w:rsidRDefault="009819CF" w:rsidP="009819CF">
      <w:pPr>
        <w:numPr>
          <w:ilvl w:val="0"/>
          <w:numId w:val="7"/>
        </w:numPr>
      </w:pPr>
      <w:r w:rsidRPr="009819CF">
        <w:t>Банкови продукти/услуги</w:t>
      </w:r>
    </w:p>
    <w:p w:rsidR="009819CF" w:rsidRPr="009819CF" w:rsidRDefault="009819CF" w:rsidP="009819CF">
      <w:pPr>
        <w:numPr>
          <w:ilvl w:val="0"/>
          <w:numId w:val="7"/>
        </w:numPr>
      </w:pPr>
      <w:r w:rsidRPr="009819CF">
        <w:t>Банкиране на дребно</w:t>
      </w:r>
    </w:p>
    <w:p w:rsidR="009819CF" w:rsidRPr="009819CF" w:rsidRDefault="009819CF" w:rsidP="009819CF">
      <w:pPr>
        <w:numPr>
          <w:ilvl w:val="0"/>
          <w:numId w:val="7"/>
        </w:numPr>
      </w:pPr>
      <w:r w:rsidRPr="009819CF">
        <w:t>Корпоративно банкиране</w:t>
      </w:r>
    </w:p>
    <w:p w:rsidR="009819CF" w:rsidRPr="009819CF" w:rsidRDefault="009819CF" w:rsidP="009819CF">
      <w:pPr>
        <w:numPr>
          <w:ilvl w:val="0"/>
          <w:numId w:val="7"/>
        </w:numPr>
      </w:pPr>
      <w:r w:rsidRPr="009819CF">
        <w:t>Частно банкиране</w:t>
      </w:r>
    </w:p>
    <w:p w:rsidR="009819CF" w:rsidRPr="009819CF" w:rsidRDefault="009819CF" w:rsidP="009819CF">
      <w:pPr>
        <w:numPr>
          <w:ilvl w:val="0"/>
          <w:numId w:val="7"/>
        </w:numPr>
      </w:pPr>
      <w:r w:rsidRPr="009819CF">
        <w:t>Инвестиционно банкиране</w:t>
      </w:r>
    </w:p>
    <w:p w:rsidR="009819CF" w:rsidRPr="009819CF" w:rsidRDefault="009819CF" w:rsidP="009819CF">
      <w:pPr>
        <w:numPr>
          <w:ilvl w:val="0"/>
          <w:numId w:val="7"/>
        </w:numPr>
      </w:pPr>
      <w:r w:rsidRPr="009819CF">
        <w:t>Контокорентен кредит</w:t>
      </w:r>
    </w:p>
    <w:p w:rsidR="009819CF" w:rsidRPr="009819CF" w:rsidRDefault="009819CF" w:rsidP="009819CF">
      <w:pPr>
        <w:numPr>
          <w:ilvl w:val="0"/>
          <w:numId w:val="7"/>
        </w:numPr>
      </w:pPr>
      <w:r w:rsidRPr="009819CF">
        <w:t>Ломбарден кредит</w:t>
      </w:r>
    </w:p>
    <w:p w:rsidR="009819CF" w:rsidRPr="009819CF" w:rsidRDefault="009819CF" w:rsidP="009819CF">
      <w:pPr>
        <w:numPr>
          <w:ilvl w:val="0"/>
          <w:numId w:val="7"/>
        </w:numPr>
      </w:pPr>
      <w:r w:rsidRPr="009819CF">
        <w:t>Сконтов кредит</w:t>
      </w:r>
    </w:p>
    <w:p w:rsidR="009819CF" w:rsidRPr="009819CF" w:rsidRDefault="009819CF" w:rsidP="009819CF">
      <w:pPr>
        <w:numPr>
          <w:ilvl w:val="0"/>
          <w:numId w:val="7"/>
        </w:numPr>
      </w:pPr>
      <w:r w:rsidRPr="009819CF">
        <w:t>Акцептен кредит</w:t>
      </w:r>
    </w:p>
    <w:p w:rsidR="009819CF" w:rsidRPr="00980DD7" w:rsidRDefault="009819CF" w:rsidP="00980DD7">
      <w:bookmarkStart w:id="0" w:name="_GoBack"/>
      <w:bookmarkEnd w:id="0"/>
    </w:p>
    <w:sectPr w:rsidR="009819CF" w:rsidRPr="00980D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72BC7"/>
    <w:multiLevelType w:val="multilevel"/>
    <w:tmpl w:val="3C8C1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00B1B"/>
    <w:multiLevelType w:val="multilevel"/>
    <w:tmpl w:val="63EE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87836"/>
    <w:multiLevelType w:val="multilevel"/>
    <w:tmpl w:val="25A8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82E5F"/>
    <w:multiLevelType w:val="multilevel"/>
    <w:tmpl w:val="7D8C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FD4E74"/>
    <w:multiLevelType w:val="multilevel"/>
    <w:tmpl w:val="12E8B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9B672B"/>
    <w:multiLevelType w:val="multilevel"/>
    <w:tmpl w:val="580A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43053"/>
    <w:multiLevelType w:val="multilevel"/>
    <w:tmpl w:val="5AF4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41"/>
    <w:rsid w:val="0007703F"/>
    <w:rsid w:val="00116712"/>
    <w:rsid w:val="00185232"/>
    <w:rsid w:val="00192B1F"/>
    <w:rsid w:val="001E65E8"/>
    <w:rsid w:val="002A6171"/>
    <w:rsid w:val="00353A41"/>
    <w:rsid w:val="00566CEC"/>
    <w:rsid w:val="005B30C7"/>
    <w:rsid w:val="006562BD"/>
    <w:rsid w:val="006955A5"/>
    <w:rsid w:val="006D0E1B"/>
    <w:rsid w:val="00856BD2"/>
    <w:rsid w:val="008B6621"/>
    <w:rsid w:val="00913BA1"/>
    <w:rsid w:val="0096054B"/>
    <w:rsid w:val="00980DD7"/>
    <w:rsid w:val="009819CF"/>
    <w:rsid w:val="009D756E"/>
    <w:rsid w:val="00A70D3F"/>
    <w:rsid w:val="00A85923"/>
    <w:rsid w:val="00C02AA8"/>
    <w:rsid w:val="00C3341C"/>
    <w:rsid w:val="00C33B71"/>
    <w:rsid w:val="00C43ED6"/>
    <w:rsid w:val="00CC4337"/>
    <w:rsid w:val="00D247C7"/>
    <w:rsid w:val="00D3218F"/>
    <w:rsid w:val="00D34574"/>
    <w:rsid w:val="00D36C89"/>
    <w:rsid w:val="00E33AC7"/>
    <w:rsid w:val="00E5592D"/>
    <w:rsid w:val="00F003BE"/>
    <w:rsid w:val="00F516E2"/>
    <w:rsid w:val="00F901E7"/>
    <w:rsid w:val="00FB331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CB503F-6A40-4E68-BA4D-B72E461E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3B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BA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913BA1"/>
    <w:rPr>
      <w:i/>
      <w:iCs/>
    </w:rPr>
  </w:style>
  <w:style w:type="paragraph" w:styleId="NoSpacing">
    <w:name w:val="No Spacing"/>
    <w:uiPriority w:val="1"/>
    <w:qFormat/>
    <w:rsid w:val="00913BA1"/>
    <w:pPr>
      <w:spacing w:after="0" w:line="240" w:lineRule="auto"/>
    </w:pPr>
  </w:style>
  <w:style w:type="character" w:styleId="Hyperlink">
    <w:name w:val="Hyperlink"/>
    <w:basedOn w:val="DefaultParagraphFont"/>
    <w:uiPriority w:val="99"/>
    <w:unhideWhenUsed/>
    <w:rsid w:val="00FB3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08">
      <w:bodyDiv w:val="1"/>
      <w:marLeft w:val="0"/>
      <w:marRight w:val="0"/>
      <w:marTop w:val="0"/>
      <w:marBottom w:val="0"/>
      <w:divBdr>
        <w:top w:val="none" w:sz="0" w:space="0" w:color="auto"/>
        <w:left w:val="none" w:sz="0" w:space="0" w:color="auto"/>
        <w:bottom w:val="none" w:sz="0" w:space="0" w:color="auto"/>
        <w:right w:val="none" w:sz="0" w:space="0" w:color="auto"/>
      </w:divBdr>
      <w:divsChild>
        <w:div w:id="798033377">
          <w:marLeft w:val="0"/>
          <w:marRight w:val="0"/>
          <w:marTop w:val="0"/>
          <w:marBottom w:val="0"/>
          <w:divBdr>
            <w:top w:val="none" w:sz="0" w:space="0" w:color="auto"/>
            <w:left w:val="none" w:sz="0" w:space="0" w:color="auto"/>
            <w:bottom w:val="none" w:sz="0" w:space="0" w:color="auto"/>
            <w:right w:val="none" w:sz="0" w:space="0" w:color="auto"/>
          </w:divBdr>
          <w:divsChild>
            <w:div w:id="10957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8656">
      <w:bodyDiv w:val="1"/>
      <w:marLeft w:val="0"/>
      <w:marRight w:val="0"/>
      <w:marTop w:val="0"/>
      <w:marBottom w:val="0"/>
      <w:divBdr>
        <w:top w:val="none" w:sz="0" w:space="0" w:color="auto"/>
        <w:left w:val="none" w:sz="0" w:space="0" w:color="auto"/>
        <w:bottom w:val="none" w:sz="0" w:space="0" w:color="auto"/>
        <w:right w:val="none" w:sz="0" w:space="0" w:color="auto"/>
      </w:divBdr>
      <w:divsChild>
        <w:div w:id="1238248081">
          <w:marLeft w:val="0"/>
          <w:marRight w:val="0"/>
          <w:marTop w:val="0"/>
          <w:marBottom w:val="0"/>
          <w:divBdr>
            <w:top w:val="none" w:sz="0" w:space="0" w:color="auto"/>
            <w:left w:val="none" w:sz="0" w:space="0" w:color="auto"/>
            <w:bottom w:val="none" w:sz="0" w:space="0" w:color="auto"/>
            <w:right w:val="none" w:sz="0" w:space="0" w:color="auto"/>
          </w:divBdr>
          <w:divsChild>
            <w:div w:id="9746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1599">
      <w:bodyDiv w:val="1"/>
      <w:marLeft w:val="0"/>
      <w:marRight w:val="0"/>
      <w:marTop w:val="0"/>
      <w:marBottom w:val="0"/>
      <w:divBdr>
        <w:top w:val="none" w:sz="0" w:space="0" w:color="auto"/>
        <w:left w:val="none" w:sz="0" w:space="0" w:color="auto"/>
        <w:bottom w:val="none" w:sz="0" w:space="0" w:color="auto"/>
        <w:right w:val="none" w:sz="0" w:space="0" w:color="auto"/>
      </w:divBdr>
    </w:div>
    <w:div w:id="170023322">
      <w:bodyDiv w:val="1"/>
      <w:marLeft w:val="0"/>
      <w:marRight w:val="0"/>
      <w:marTop w:val="0"/>
      <w:marBottom w:val="0"/>
      <w:divBdr>
        <w:top w:val="none" w:sz="0" w:space="0" w:color="auto"/>
        <w:left w:val="none" w:sz="0" w:space="0" w:color="auto"/>
        <w:bottom w:val="none" w:sz="0" w:space="0" w:color="auto"/>
        <w:right w:val="none" w:sz="0" w:space="0" w:color="auto"/>
      </w:divBdr>
    </w:div>
    <w:div w:id="242565673">
      <w:bodyDiv w:val="1"/>
      <w:marLeft w:val="0"/>
      <w:marRight w:val="0"/>
      <w:marTop w:val="0"/>
      <w:marBottom w:val="0"/>
      <w:divBdr>
        <w:top w:val="none" w:sz="0" w:space="0" w:color="auto"/>
        <w:left w:val="none" w:sz="0" w:space="0" w:color="auto"/>
        <w:bottom w:val="none" w:sz="0" w:space="0" w:color="auto"/>
        <w:right w:val="none" w:sz="0" w:space="0" w:color="auto"/>
      </w:divBdr>
    </w:div>
    <w:div w:id="280959732">
      <w:bodyDiv w:val="1"/>
      <w:marLeft w:val="0"/>
      <w:marRight w:val="0"/>
      <w:marTop w:val="0"/>
      <w:marBottom w:val="0"/>
      <w:divBdr>
        <w:top w:val="none" w:sz="0" w:space="0" w:color="auto"/>
        <w:left w:val="none" w:sz="0" w:space="0" w:color="auto"/>
        <w:bottom w:val="none" w:sz="0" w:space="0" w:color="auto"/>
        <w:right w:val="none" w:sz="0" w:space="0" w:color="auto"/>
      </w:divBdr>
    </w:div>
    <w:div w:id="353847377">
      <w:bodyDiv w:val="1"/>
      <w:marLeft w:val="0"/>
      <w:marRight w:val="0"/>
      <w:marTop w:val="0"/>
      <w:marBottom w:val="0"/>
      <w:divBdr>
        <w:top w:val="none" w:sz="0" w:space="0" w:color="auto"/>
        <w:left w:val="none" w:sz="0" w:space="0" w:color="auto"/>
        <w:bottom w:val="none" w:sz="0" w:space="0" w:color="auto"/>
        <w:right w:val="none" w:sz="0" w:space="0" w:color="auto"/>
      </w:divBdr>
    </w:div>
    <w:div w:id="361711555">
      <w:bodyDiv w:val="1"/>
      <w:marLeft w:val="0"/>
      <w:marRight w:val="0"/>
      <w:marTop w:val="0"/>
      <w:marBottom w:val="0"/>
      <w:divBdr>
        <w:top w:val="none" w:sz="0" w:space="0" w:color="auto"/>
        <w:left w:val="none" w:sz="0" w:space="0" w:color="auto"/>
        <w:bottom w:val="none" w:sz="0" w:space="0" w:color="auto"/>
        <w:right w:val="none" w:sz="0" w:space="0" w:color="auto"/>
      </w:divBdr>
    </w:div>
    <w:div w:id="382293196">
      <w:bodyDiv w:val="1"/>
      <w:marLeft w:val="0"/>
      <w:marRight w:val="0"/>
      <w:marTop w:val="0"/>
      <w:marBottom w:val="0"/>
      <w:divBdr>
        <w:top w:val="none" w:sz="0" w:space="0" w:color="auto"/>
        <w:left w:val="none" w:sz="0" w:space="0" w:color="auto"/>
        <w:bottom w:val="none" w:sz="0" w:space="0" w:color="auto"/>
        <w:right w:val="none" w:sz="0" w:space="0" w:color="auto"/>
      </w:divBdr>
    </w:div>
    <w:div w:id="444274011">
      <w:bodyDiv w:val="1"/>
      <w:marLeft w:val="0"/>
      <w:marRight w:val="0"/>
      <w:marTop w:val="0"/>
      <w:marBottom w:val="0"/>
      <w:divBdr>
        <w:top w:val="none" w:sz="0" w:space="0" w:color="auto"/>
        <w:left w:val="none" w:sz="0" w:space="0" w:color="auto"/>
        <w:bottom w:val="none" w:sz="0" w:space="0" w:color="auto"/>
        <w:right w:val="none" w:sz="0" w:space="0" w:color="auto"/>
      </w:divBdr>
      <w:divsChild>
        <w:div w:id="1694334455">
          <w:marLeft w:val="0"/>
          <w:marRight w:val="0"/>
          <w:marTop w:val="0"/>
          <w:marBottom w:val="0"/>
          <w:divBdr>
            <w:top w:val="none" w:sz="0" w:space="0" w:color="auto"/>
            <w:left w:val="none" w:sz="0" w:space="0" w:color="auto"/>
            <w:bottom w:val="none" w:sz="0" w:space="0" w:color="auto"/>
            <w:right w:val="none" w:sz="0" w:space="0" w:color="auto"/>
          </w:divBdr>
          <w:divsChild>
            <w:div w:id="9043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2458">
      <w:bodyDiv w:val="1"/>
      <w:marLeft w:val="0"/>
      <w:marRight w:val="0"/>
      <w:marTop w:val="0"/>
      <w:marBottom w:val="0"/>
      <w:divBdr>
        <w:top w:val="none" w:sz="0" w:space="0" w:color="auto"/>
        <w:left w:val="none" w:sz="0" w:space="0" w:color="auto"/>
        <w:bottom w:val="none" w:sz="0" w:space="0" w:color="auto"/>
        <w:right w:val="none" w:sz="0" w:space="0" w:color="auto"/>
      </w:divBdr>
      <w:divsChild>
        <w:div w:id="1721435357">
          <w:marLeft w:val="0"/>
          <w:marRight w:val="0"/>
          <w:marTop w:val="0"/>
          <w:marBottom w:val="0"/>
          <w:divBdr>
            <w:top w:val="none" w:sz="0" w:space="0" w:color="auto"/>
            <w:left w:val="none" w:sz="0" w:space="0" w:color="auto"/>
            <w:bottom w:val="none" w:sz="0" w:space="0" w:color="auto"/>
            <w:right w:val="none" w:sz="0" w:space="0" w:color="auto"/>
          </w:divBdr>
          <w:divsChild>
            <w:div w:id="38064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549">
      <w:bodyDiv w:val="1"/>
      <w:marLeft w:val="0"/>
      <w:marRight w:val="0"/>
      <w:marTop w:val="0"/>
      <w:marBottom w:val="0"/>
      <w:divBdr>
        <w:top w:val="none" w:sz="0" w:space="0" w:color="auto"/>
        <w:left w:val="none" w:sz="0" w:space="0" w:color="auto"/>
        <w:bottom w:val="none" w:sz="0" w:space="0" w:color="auto"/>
        <w:right w:val="none" w:sz="0" w:space="0" w:color="auto"/>
      </w:divBdr>
    </w:div>
    <w:div w:id="733436095">
      <w:bodyDiv w:val="1"/>
      <w:marLeft w:val="0"/>
      <w:marRight w:val="0"/>
      <w:marTop w:val="0"/>
      <w:marBottom w:val="0"/>
      <w:divBdr>
        <w:top w:val="none" w:sz="0" w:space="0" w:color="auto"/>
        <w:left w:val="none" w:sz="0" w:space="0" w:color="auto"/>
        <w:bottom w:val="none" w:sz="0" w:space="0" w:color="auto"/>
        <w:right w:val="none" w:sz="0" w:space="0" w:color="auto"/>
      </w:divBdr>
      <w:divsChild>
        <w:div w:id="123892278">
          <w:marLeft w:val="0"/>
          <w:marRight w:val="0"/>
          <w:marTop w:val="0"/>
          <w:marBottom w:val="0"/>
          <w:divBdr>
            <w:top w:val="none" w:sz="0" w:space="0" w:color="auto"/>
            <w:left w:val="none" w:sz="0" w:space="0" w:color="auto"/>
            <w:bottom w:val="none" w:sz="0" w:space="0" w:color="auto"/>
            <w:right w:val="none" w:sz="0" w:space="0" w:color="auto"/>
          </w:divBdr>
          <w:divsChild>
            <w:div w:id="69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50925">
      <w:bodyDiv w:val="1"/>
      <w:marLeft w:val="0"/>
      <w:marRight w:val="0"/>
      <w:marTop w:val="0"/>
      <w:marBottom w:val="0"/>
      <w:divBdr>
        <w:top w:val="none" w:sz="0" w:space="0" w:color="auto"/>
        <w:left w:val="none" w:sz="0" w:space="0" w:color="auto"/>
        <w:bottom w:val="none" w:sz="0" w:space="0" w:color="auto"/>
        <w:right w:val="none" w:sz="0" w:space="0" w:color="auto"/>
      </w:divBdr>
      <w:divsChild>
        <w:div w:id="1708407887">
          <w:marLeft w:val="0"/>
          <w:marRight w:val="0"/>
          <w:marTop w:val="0"/>
          <w:marBottom w:val="0"/>
          <w:divBdr>
            <w:top w:val="none" w:sz="0" w:space="0" w:color="auto"/>
            <w:left w:val="none" w:sz="0" w:space="0" w:color="auto"/>
            <w:bottom w:val="none" w:sz="0" w:space="0" w:color="auto"/>
            <w:right w:val="none" w:sz="0" w:space="0" w:color="auto"/>
          </w:divBdr>
          <w:divsChild>
            <w:div w:id="17909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5707">
      <w:bodyDiv w:val="1"/>
      <w:marLeft w:val="0"/>
      <w:marRight w:val="0"/>
      <w:marTop w:val="0"/>
      <w:marBottom w:val="0"/>
      <w:divBdr>
        <w:top w:val="none" w:sz="0" w:space="0" w:color="auto"/>
        <w:left w:val="none" w:sz="0" w:space="0" w:color="auto"/>
        <w:bottom w:val="none" w:sz="0" w:space="0" w:color="auto"/>
        <w:right w:val="none" w:sz="0" w:space="0" w:color="auto"/>
      </w:divBdr>
      <w:divsChild>
        <w:div w:id="178082830">
          <w:marLeft w:val="0"/>
          <w:marRight w:val="0"/>
          <w:marTop w:val="0"/>
          <w:marBottom w:val="0"/>
          <w:divBdr>
            <w:top w:val="none" w:sz="0" w:space="0" w:color="auto"/>
            <w:left w:val="none" w:sz="0" w:space="0" w:color="auto"/>
            <w:bottom w:val="none" w:sz="0" w:space="0" w:color="auto"/>
            <w:right w:val="none" w:sz="0" w:space="0" w:color="auto"/>
          </w:divBdr>
          <w:divsChild>
            <w:div w:id="2733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1675">
      <w:bodyDiv w:val="1"/>
      <w:marLeft w:val="0"/>
      <w:marRight w:val="0"/>
      <w:marTop w:val="0"/>
      <w:marBottom w:val="0"/>
      <w:divBdr>
        <w:top w:val="none" w:sz="0" w:space="0" w:color="auto"/>
        <w:left w:val="none" w:sz="0" w:space="0" w:color="auto"/>
        <w:bottom w:val="none" w:sz="0" w:space="0" w:color="auto"/>
        <w:right w:val="none" w:sz="0" w:space="0" w:color="auto"/>
      </w:divBdr>
      <w:divsChild>
        <w:div w:id="1183857776">
          <w:marLeft w:val="0"/>
          <w:marRight w:val="0"/>
          <w:marTop w:val="0"/>
          <w:marBottom w:val="0"/>
          <w:divBdr>
            <w:top w:val="none" w:sz="0" w:space="0" w:color="auto"/>
            <w:left w:val="none" w:sz="0" w:space="0" w:color="auto"/>
            <w:bottom w:val="none" w:sz="0" w:space="0" w:color="auto"/>
            <w:right w:val="none" w:sz="0" w:space="0" w:color="auto"/>
          </w:divBdr>
          <w:divsChild>
            <w:div w:id="4458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729882">
      <w:bodyDiv w:val="1"/>
      <w:marLeft w:val="0"/>
      <w:marRight w:val="0"/>
      <w:marTop w:val="0"/>
      <w:marBottom w:val="0"/>
      <w:divBdr>
        <w:top w:val="none" w:sz="0" w:space="0" w:color="auto"/>
        <w:left w:val="none" w:sz="0" w:space="0" w:color="auto"/>
        <w:bottom w:val="none" w:sz="0" w:space="0" w:color="auto"/>
        <w:right w:val="none" w:sz="0" w:space="0" w:color="auto"/>
      </w:divBdr>
      <w:divsChild>
        <w:div w:id="494732927">
          <w:marLeft w:val="0"/>
          <w:marRight w:val="0"/>
          <w:marTop w:val="0"/>
          <w:marBottom w:val="0"/>
          <w:divBdr>
            <w:top w:val="none" w:sz="0" w:space="0" w:color="auto"/>
            <w:left w:val="none" w:sz="0" w:space="0" w:color="auto"/>
            <w:bottom w:val="none" w:sz="0" w:space="0" w:color="auto"/>
            <w:right w:val="none" w:sz="0" w:space="0" w:color="auto"/>
          </w:divBdr>
          <w:divsChild>
            <w:div w:id="11835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0540">
      <w:bodyDiv w:val="1"/>
      <w:marLeft w:val="0"/>
      <w:marRight w:val="0"/>
      <w:marTop w:val="0"/>
      <w:marBottom w:val="0"/>
      <w:divBdr>
        <w:top w:val="none" w:sz="0" w:space="0" w:color="auto"/>
        <w:left w:val="none" w:sz="0" w:space="0" w:color="auto"/>
        <w:bottom w:val="none" w:sz="0" w:space="0" w:color="auto"/>
        <w:right w:val="none" w:sz="0" w:space="0" w:color="auto"/>
      </w:divBdr>
    </w:div>
    <w:div w:id="1166823491">
      <w:bodyDiv w:val="1"/>
      <w:marLeft w:val="0"/>
      <w:marRight w:val="0"/>
      <w:marTop w:val="0"/>
      <w:marBottom w:val="0"/>
      <w:divBdr>
        <w:top w:val="none" w:sz="0" w:space="0" w:color="auto"/>
        <w:left w:val="none" w:sz="0" w:space="0" w:color="auto"/>
        <w:bottom w:val="none" w:sz="0" w:space="0" w:color="auto"/>
        <w:right w:val="none" w:sz="0" w:space="0" w:color="auto"/>
      </w:divBdr>
      <w:divsChild>
        <w:div w:id="763455888">
          <w:marLeft w:val="0"/>
          <w:marRight w:val="0"/>
          <w:marTop w:val="0"/>
          <w:marBottom w:val="0"/>
          <w:divBdr>
            <w:top w:val="none" w:sz="0" w:space="0" w:color="auto"/>
            <w:left w:val="none" w:sz="0" w:space="0" w:color="auto"/>
            <w:bottom w:val="none" w:sz="0" w:space="0" w:color="auto"/>
            <w:right w:val="none" w:sz="0" w:space="0" w:color="auto"/>
          </w:divBdr>
          <w:divsChild>
            <w:div w:id="656496490">
              <w:marLeft w:val="0"/>
              <w:marRight w:val="0"/>
              <w:marTop w:val="0"/>
              <w:marBottom w:val="0"/>
              <w:divBdr>
                <w:top w:val="none" w:sz="0" w:space="0" w:color="auto"/>
                <w:left w:val="none" w:sz="0" w:space="0" w:color="auto"/>
                <w:bottom w:val="none" w:sz="0" w:space="0" w:color="auto"/>
                <w:right w:val="none" w:sz="0" w:space="0" w:color="auto"/>
              </w:divBdr>
            </w:div>
          </w:divsChild>
        </w:div>
        <w:div w:id="1323389846">
          <w:marLeft w:val="0"/>
          <w:marRight w:val="0"/>
          <w:marTop w:val="0"/>
          <w:marBottom w:val="0"/>
          <w:divBdr>
            <w:top w:val="none" w:sz="0" w:space="0" w:color="auto"/>
            <w:left w:val="none" w:sz="0" w:space="0" w:color="auto"/>
            <w:bottom w:val="none" w:sz="0" w:space="0" w:color="auto"/>
            <w:right w:val="none" w:sz="0" w:space="0" w:color="auto"/>
          </w:divBdr>
        </w:div>
      </w:divsChild>
    </w:div>
    <w:div w:id="1173029015">
      <w:bodyDiv w:val="1"/>
      <w:marLeft w:val="0"/>
      <w:marRight w:val="0"/>
      <w:marTop w:val="0"/>
      <w:marBottom w:val="0"/>
      <w:divBdr>
        <w:top w:val="none" w:sz="0" w:space="0" w:color="auto"/>
        <w:left w:val="none" w:sz="0" w:space="0" w:color="auto"/>
        <w:bottom w:val="none" w:sz="0" w:space="0" w:color="auto"/>
        <w:right w:val="none" w:sz="0" w:space="0" w:color="auto"/>
      </w:divBdr>
      <w:divsChild>
        <w:div w:id="2072078161">
          <w:marLeft w:val="0"/>
          <w:marRight w:val="0"/>
          <w:marTop w:val="0"/>
          <w:marBottom w:val="0"/>
          <w:divBdr>
            <w:top w:val="none" w:sz="0" w:space="0" w:color="auto"/>
            <w:left w:val="none" w:sz="0" w:space="0" w:color="auto"/>
            <w:bottom w:val="none" w:sz="0" w:space="0" w:color="auto"/>
            <w:right w:val="none" w:sz="0" w:space="0" w:color="auto"/>
          </w:divBdr>
          <w:divsChild>
            <w:div w:id="15325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6550">
      <w:bodyDiv w:val="1"/>
      <w:marLeft w:val="0"/>
      <w:marRight w:val="0"/>
      <w:marTop w:val="0"/>
      <w:marBottom w:val="0"/>
      <w:divBdr>
        <w:top w:val="none" w:sz="0" w:space="0" w:color="auto"/>
        <w:left w:val="none" w:sz="0" w:space="0" w:color="auto"/>
        <w:bottom w:val="none" w:sz="0" w:space="0" w:color="auto"/>
        <w:right w:val="none" w:sz="0" w:space="0" w:color="auto"/>
      </w:divBdr>
      <w:divsChild>
        <w:div w:id="1792437614">
          <w:marLeft w:val="0"/>
          <w:marRight w:val="0"/>
          <w:marTop w:val="0"/>
          <w:marBottom w:val="0"/>
          <w:divBdr>
            <w:top w:val="none" w:sz="0" w:space="0" w:color="auto"/>
            <w:left w:val="none" w:sz="0" w:space="0" w:color="auto"/>
            <w:bottom w:val="none" w:sz="0" w:space="0" w:color="auto"/>
            <w:right w:val="none" w:sz="0" w:space="0" w:color="auto"/>
          </w:divBdr>
          <w:divsChild>
            <w:div w:id="170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13920">
      <w:bodyDiv w:val="1"/>
      <w:marLeft w:val="0"/>
      <w:marRight w:val="0"/>
      <w:marTop w:val="0"/>
      <w:marBottom w:val="0"/>
      <w:divBdr>
        <w:top w:val="none" w:sz="0" w:space="0" w:color="auto"/>
        <w:left w:val="none" w:sz="0" w:space="0" w:color="auto"/>
        <w:bottom w:val="none" w:sz="0" w:space="0" w:color="auto"/>
        <w:right w:val="none" w:sz="0" w:space="0" w:color="auto"/>
      </w:divBdr>
      <w:divsChild>
        <w:div w:id="1527981397">
          <w:marLeft w:val="0"/>
          <w:marRight w:val="0"/>
          <w:marTop w:val="0"/>
          <w:marBottom w:val="0"/>
          <w:divBdr>
            <w:top w:val="none" w:sz="0" w:space="0" w:color="auto"/>
            <w:left w:val="none" w:sz="0" w:space="0" w:color="auto"/>
            <w:bottom w:val="none" w:sz="0" w:space="0" w:color="auto"/>
            <w:right w:val="none" w:sz="0" w:space="0" w:color="auto"/>
          </w:divBdr>
          <w:divsChild>
            <w:div w:id="17356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8771">
      <w:bodyDiv w:val="1"/>
      <w:marLeft w:val="0"/>
      <w:marRight w:val="0"/>
      <w:marTop w:val="0"/>
      <w:marBottom w:val="0"/>
      <w:divBdr>
        <w:top w:val="none" w:sz="0" w:space="0" w:color="auto"/>
        <w:left w:val="none" w:sz="0" w:space="0" w:color="auto"/>
        <w:bottom w:val="none" w:sz="0" w:space="0" w:color="auto"/>
        <w:right w:val="none" w:sz="0" w:space="0" w:color="auto"/>
      </w:divBdr>
    </w:div>
    <w:div w:id="1387534134">
      <w:bodyDiv w:val="1"/>
      <w:marLeft w:val="0"/>
      <w:marRight w:val="0"/>
      <w:marTop w:val="0"/>
      <w:marBottom w:val="0"/>
      <w:divBdr>
        <w:top w:val="none" w:sz="0" w:space="0" w:color="auto"/>
        <w:left w:val="none" w:sz="0" w:space="0" w:color="auto"/>
        <w:bottom w:val="none" w:sz="0" w:space="0" w:color="auto"/>
        <w:right w:val="none" w:sz="0" w:space="0" w:color="auto"/>
      </w:divBdr>
    </w:div>
    <w:div w:id="1413968821">
      <w:bodyDiv w:val="1"/>
      <w:marLeft w:val="0"/>
      <w:marRight w:val="0"/>
      <w:marTop w:val="0"/>
      <w:marBottom w:val="0"/>
      <w:divBdr>
        <w:top w:val="none" w:sz="0" w:space="0" w:color="auto"/>
        <w:left w:val="none" w:sz="0" w:space="0" w:color="auto"/>
        <w:bottom w:val="none" w:sz="0" w:space="0" w:color="auto"/>
        <w:right w:val="none" w:sz="0" w:space="0" w:color="auto"/>
      </w:divBdr>
      <w:divsChild>
        <w:div w:id="1512184599">
          <w:marLeft w:val="0"/>
          <w:marRight w:val="0"/>
          <w:marTop w:val="0"/>
          <w:marBottom w:val="0"/>
          <w:divBdr>
            <w:top w:val="none" w:sz="0" w:space="0" w:color="auto"/>
            <w:left w:val="none" w:sz="0" w:space="0" w:color="auto"/>
            <w:bottom w:val="none" w:sz="0" w:space="0" w:color="auto"/>
            <w:right w:val="none" w:sz="0" w:space="0" w:color="auto"/>
          </w:divBdr>
          <w:divsChild>
            <w:div w:id="7616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45921">
      <w:bodyDiv w:val="1"/>
      <w:marLeft w:val="0"/>
      <w:marRight w:val="0"/>
      <w:marTop w:val="0"/>
      <w:marBottom w:val="0"/>
      <w:divBdr>
        <w:top w:val="none" w:sz="0" w:space="0" w:color="auto"/>
        <w:left w:val="none" w:sz="0" w:space="0" w:color="auto"/>
        <w:bottom w:val="none" w:sz="0" w:space="0" w:color="auto"/>
        <w:right w:val="none" w:sz="0" w:space="0" w:color="auto"/>
      </w:divBdr>
    </w:div>
    <w:div w:id="1422947541">
      <w:bodyDiv w:val="1"/>
      <w:marLeft w:val="0"/>
      <w:marRight w:val="0"/>
      <w:marTop w:val="0"/>
      <w:marBottom w:val="0"/>
      <w:divBdr>
        <w:top w:val="none" w:sz="0" w:space="0" w:color="auto"/>
        <w:left w:val="none" w:sz="0" w:space="0" w:color="auto"/>
        <w:bottom w:val="none" w:sz="0" w:space="0" w:color="auto"/>
        <w:right w:val="none" w:sz="0" w:space="0" w:color="auto"/>
      </w:divBdr>
      <w:divsChild>
        <w:div w:id="1059673390">
          <w:marLeft w:val="0"/>
          <w:marRight w:val="0"/>
          <w:marTop w:val="0"/>
          <w:marBottom w:val="0"/>
          <w:divBdr>
            <w:top w:val="none" w:sz="0" w:space="0" w:color="auto"/>
            <w:left w:val="none" w:sz="0" w:space="0" w:color="auto"/>
            <w:bottom w:val="none" w:sz="0" w:space="0" w:color="auto"/>
            <w:right w:val="none" w:sz="0" w:space="0" w:color="auto"/>
          </w:divBdr>
          <w:divsChild>
            <w:div w:id="10245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4049">
      <w:bodyDiv w:val="1"/>
      <w:marLeft w:val="0"/>
      <w:marRight w:val="0"/>
      <w:marTop w:val="0"/>
      <w:marBottom w:val="0"/>
      <w:divBdr>
        <w:top w:val="none" w:sz="0" w:space="0" w:color="auto"/>
        <w:left w:val="none" w:sz="0" w:space="0" w:color="auto"/>
        <w:bottom w:val="none" w:sz="0" w:space="0" w:color="auto"/>
        <w:right w:val="none" w:sz="0" w:space="0" w:color="auto"/>
      </w:divBdr>
      <w:divsChild>
        <w:div w:id="616184121">
          <w:marLeft w:val="0"/>
          <w:marRight w:val="0"/>
          <w:marTop w:val="0"/>
          <w:marBottom w:val="0"/>
          <w:divBdr>
            <w:top w:val="none" w:sz="0" w:space="0" w:color="auto"/>
            <w:left w:val="none" w:sz="0" w:space="0" w:color="auto"/>
            <w:bottom w:val="none" w:sz="0" w:space="0" w:color="auto"/>
            <w:right w:val="none" w:sz="0" w:space="0" w:color="auto"/>
          </w:divBdr>
          <w:divsChild>
            <w:div w:id="10291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7460">
      <w:bodyDiv w:val="1"/>
      <w:marLeft w:val="0"/>
      <w:marRight w:val="0"/>
      <w:marTop w:val="0"/>
      <w:marBottom w:val="0"/>
      <w:divBdr>
        <w:top w:val="none" w:sz="0" w:space="0" w:color="auto"/>
        <w:left w:val="none" w:sz="0" w:space="0" w:color="auto"/>
        <w:bottom w:val="none" w:sz="0" w:space="0" w:color="auto"/>
        <w:right w:val="none" w:sz="0" w:space="0" w:color="auto"/>
      </w:divBdr>
      <w:divsChild>
        <w:div w:id="965502138">
          <w:marLeft w:val="0"/>
          <w:marRight w:val="0"/>
          <w:marTop w:val="0"/>
          <w:marBottom w:val="0"/>
          <w:divBdr>
            <w:top w:val="none" w:sz="0" w:space="0" w:color="auto"/>
            <w:left w:val="none" w:sz="0" w:space="0" w:color="auto"/>
            <w:bottom w:val="none" w:sz="0" w:space="0" w:color="auto"/>
            <w:right w:val="none" w:sz="0" w:space="0" w:color="auto"/>
          </w:divBdr>
          <w:divsChild>
            <w:div w:id="6921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68108">
      <w:bodyDiv w:val="1"/>
      <w:marLeft w:val="0"/>
      <w:marRight w:val="0"/>
      <w:marTop w:val="0"/>
      <w:marBottom w:val="0"/>
      <w:divBdr>
        <w:top w:val="none" w:sz="0" w:space="0" w:color="auto"/>
        <w:left w:val="none" w:sz="0" w:space="0" w:color="auto"/>
        <w:bottom w:val="none" w:sz="0" w:space="0" w:color="auto"/>
        <w:right w:val="none" w:sz="0" w:space="0" w:color="auto"/>
      </w:divBdr>
      <w:divsChild>
        <w:div w:id="549073922">
          <w:marLeft w:val="0"/>
          <w:marRight w:val="0"/>
          <w:marTop w:val="0"/>
          <w:marBottom w:val="0"/>
          <w:divBdr>
            <w:top w:val="none" w:sz="0" w:space="0" w:color="auto"/>
            <w:left w:val="none" w:sz="0" w:space="0" w:color="auto"/>
            <w:bottom w:val="none" w:sz="0" w:space="0" w:color="auto"/>
            <w:right w:val="none" w:sz="0" w:space="0" w:color="auto"/>
          </w:divBdr>
          <w:divsChild>
            <w:div w:id="4178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7733">
      <w:bodyDiv w:val="1"/>
      <w:marLeft w:val="0"/>
      <w:marRight w:val="0"/>
      <w:marTop w:val="0"/>
      <w:marBottom w:val="0"/>
      <w:divBdr>
        <w:top w:val="none" w:sz="0" w:space="0" w:color="auto"/>
        <w:left w:val="none" w:sz="0" w:space="0" w:color="auto"/>
        <w:bottom w:val="none" w:sz="0" w:space="0" w:color="auto"/>
        <w:right w:val="none" w:sz="0" w:space="0" w:color="auto"/>
      </w:divBdr>
      <w:divsChild>
        <w:div w:id="940913003">
          <w:marLeft w:val="0"/>
          <w:marRight w:val="0"/>
          <w:marTop w:val="0"/>
          <w:marBottom w:val="0"/>
          <w:divBdr>
            <w:top w:val="none" w:sz="0" w:space="0" w:color="auto"/>
            <w:left w:val="none" w:sz="0" w:space="0" w:color="auto"/>
            <w:bottom w:val="none" w:sz="0" w:space="0" w:color="auto"/>
            <w:right w:val="none" w:sz="0" w:space="0" w:color="auto"/>
          </w:divBdr>
          <w:divsChild>
            <w:div w:id="87492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820">
      <w:bodyDiv w:val="1"/>
      <w:marLeft w:val="0"/>
      <w:marRight w:val="0"/>
      <w:marTop w:val="0"/>
      <w:marBottom w:val="0"/>
      <w:divBdr>
        <w:top w:val="none" w:sz="0" w:space="0" w:color="auto"/>
        <w:left w:val="none" w:sz="0" w:space="0" w:color="auto"/>
        <w:bottom w:val="none" w:sz="0" w:space="0" w:color="auto"/>
        <w:right w:val="none" w:sz="0" w:space="0" w:color="auto"/>
      </w:divBdr>
    </w:div>
    <w:div w:id="1595434563">
      <w:bodyDiv w:val="1"/>
      <w:marLeft w:val="0"/>
      <w:marRight w:val="0"/>
      <w:marTop w:val="0"/>
      <w:marBottom w:val="0"/>
      <w:divBdr>
        <w:top w:val="none" w:sz="0" w:space="0" w:color="auto"/>
        <w:left w:val="none" w:sz="0" w:space="0" w:color="auto"/>
        <w:bottom w:val="none" w:sz="0" w:space="0" w:color="auto"/>
        <w:right w:val="none" w:sz="0" w:space="0" w:color="auto"/>
      </w:divBdr>
      <w:divsChild>
        <w:div w:id="2017461004">
          <w:marLeft w:val="0"/>
          <w:marRight w:val="0"/>
          <w:marTop w:val="0"/>
          <w:marBottom w:val="0"/>
          <w:divBdr>
            <w:top w:val="none" w:sz="0" w:space="0" w:color="auto"/>
            <w:left w:val="none" w:sz="0" w:space="0" w:color="auto"/>
            <w:bottom w:val="none" w:sz="0" w:space="0" w:color="auto"/>
            <w:right w:val="none" w:sz="0" w:space="0" w:color="auto"/>
          </w:divBdr>
          <w:divsChild>
            <w:div w:id="13739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6900">
      <w:bodyDiv w:val="1"/>
      <w:marLeft w:val="0"/>
      <w:marRight w:val="0"/>
      <w:marTop w:val="0"/>
      <w:marBottom w:val="0"/>
      <w:divBdr>
        <w:top w:val="none" w:sz="0" w:space="0" w:color="auto"/>
        <w:left w:val="none" w:sz="0" w:space="0" w:color="auto"/>
        <w:bottom w:val="none" w:sz="0" w:space="0" w:color="auto"/>
        <w:right w:val="none" w:sz="0" w:space="0" w:color="auto"/>
      </w:divBdr>
      <w:divsChild>
        <w:div w:id="363991310">
          <w:marLeft w:val="0"/>
          <w:marRight w:val="0"/>
          <w:marTop w:val="0"/>
          <w:marBottom w:val="0"/>
          <w:divBdr>
            <w:top w:val="none" w:sz="0" w:space="0" w:color="auto"/>
            <w:left w:val="none" w:sz="0" w:space="0" w:color="auto"/>
            <w:bottom w:val="none" w:sz="0" w:space="0" w:color="auto"/>
            <w:right w:val="none" w:sz="0" w:space="0" w:color="auto"/>
          </w:divBdr>
          <w:divsChild>
            <w:div w:id="16471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0278">
      <w:bodyDiv w:val="1"/>
      <w:marLeft w:val="0"/>
      <w:marRight w:val="0"/>
      <w:marTop w:val="0"/>
      <w:marBottom w:val="0"/>
      <w:divBdr>
        <w:top w:val="none" w:sz="0" w:space="0" w:color="auto"/>
        <w:left w:val="none" w:sz="0" w:space="0" w:color="auto"/>
        <w:bottom w:val="none" w:sz="0" w:space="0" w:color="auto"/>
        <w:right w:val="none" w:sz="0" w:space="0" w:color="auto"/>
      </w:divBdr>
    </w:div>
    <w:div w:id="1766220384">
      <w:bodyDiv w:val="1"/>
      <w:marLeft w:val="0"/>
      <w:marRight w:val="0"/>
      <w:marTop w:val="0"/>
      <w:marBottom w:val="0"/>
      <w:divBdr>
        <w:top w:val="none" w:sz="0" w:space="0" w:color="auto"/>
        <w:left w:val="none" w:sz="0" w:space="0" w:color="auto"/>
        <w:bottom w:val="none" w:sz="0" w:space="0" w:color="auto"/>
        <w:right w:val="none" w:sz="0" w:space="0" w:color="auto"/>
      </w:divBdr>
    </w:div>
    <w:div w:id="1835677976">
      <w:bodyDiv w:val="1"/>
      <w:marLeft w:val="0"/>
      <w:marRight w:val="0"/>
      <w:marTop w:val="0"/>
      <w:marBottom w:val="0"/>
      <w:divBdr>
        <w:top w:val="none" w:sz="0" w:space="0" w:color="auto"/>
        <w:left w:val="none" w:sz="0" w:space="0" w:color="auto"/>
        <w:bottom w:val="none" w:sz="0" w:space="0" w:color="auto"/>
        <w:right w:val="none" w:sz="0" w:space="0" w:color="auto"/>
      </w:divBdr>
    </w:div>
    <w:div w:id="1856261996">
      <w:bodyDiv w:val="1"/>
      <w:marLeft w:val="0"/>
      <w:marRight w:val="0"/>
      <w:marTop w:val="0"/>
      <w:marBottom w:val="0"/>
      <w:divBdr>
        <w:top w:val="none" w:sz="0" w:space="0" w:color="auto"/>
        <w:left w:val="none" w:sz="0" w:space="0" w:color="auto"/>
        <w:bottom w:val="none" w:sz="0" w:space="0" w:color="auto"/>
        <w:right w:val="none" w:sz="0" w:space="0" w:color="auto"/>
      </w:divBdr>
      <w:divsChild>
        <w:div w:id="1287933507">
          <w:marLeft w:val="0"/>
          <w:marRight w:val="0"/>
          <w:marTop w:val="0"/>
          <w:marBottom w:val="0"/>
          <w:divBdr>
            <w:top w:val="none" w:sz="0" w:space="0" w:color="auto"/>
            <w:left w:val="none" w:sz="0" w:space="0" w:color="auto"/>
            <w:bottom w:val="none" w:sz="0" w:space="0" w:color="auto"/>
            <w:right w:val="none" w:sz="0" w:space="0" w:color="auto"/>
          </w:divBdr>
          <w:divsChild>
            <w:div w:id="1191794866">
              <w:marLeft w:val="0"/>
              <w:marRight w:val="0"/>
              <w:marTop w:val="0"/>
              <w:marBottom w:val="0"/>
              <w:divBdr>
                <w:top w:val="none" w:sz="0" w:space="0" w:color="auto"/>
                <w:left w:val="none" w:sz="0" w:space="0" w:color="auto"/>
                <w:bottom w:val="none" w:sz="0" w:space="0" w:color="auto"/>
                <w:right w:val="none" w:sz="0" w:space="0" w:color="auto"/>
              </w:divBdr>
              <w:divsChild>
                <w:div w:id="219174089">
                  <w:marLeft w:val="0"/>
                  <w:marRight w:val="0"/>
                  <w:marTop w:val="0"/>
                  <w:marBottom w:val="0"/>
                  <w:divBdr>
                    <w:top w:val="none" w:sz="0" w:space="0" w:color="auto"/>
                    <w:left w:val="none" w:sz="0" w:space="0" w:color="auto"/>
                    <w:bottom w:val="none" w:sz="0" w:space="0" w:color="auto"/>
                    <w:right w:val="none" w:sz="0" w:space="0" w:color="auto"/>
                  </w:divBdr>
                </w:div>
                <w:div w:id="8982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10261">
      <w:bodyDiv w:val="1"/>
      <w:marLeft w:val="0"/>
      <w:marRight w:val="0"/>
      <w:marTop w:val="0"/>
      <w:marBottom w:val="0"/>
      <w:divBdr>
        <w:top w:val="none" w:sz="0" w:space="0" w:color="auto"/>
        <w:left w:val="none" w:sz="0" w:space="0" w:color="auto"/>
        <w:bottom w:val="none" w:sz="0" w:space="0" w:color="auto"/>
        <w:right w:val="none" w:sz="0" w:space="0" w:color="auto"/>
      </w:divBdr>
    </w:div>
    <w:div w:id="2084642159">
      <w:bodyDiv w:val="1"/>
      <w:marLeft w:val="0"/>
      <w:marRight w:val="0"/>
      <w:marTop w:val="0"/>
      <w:marBottom w:val="0"/>
      <w:divBdr>
        <w:top w:val="none" w:sz="0" w:space="0" w:color="auto"/>
        <w:left w:val="none" w:sz="0" w:space="0" w:color="auto"/>
        <w:bottom w:val="none" w:sz="0" w:space="0" w:color="auto"/>
        <w:right w:val="none" w:sz="0" w:space="0" w:color="auto"/>
      </w:divBdr>
      <w:divsChild>
        <w:div w:id="676927226">
          <w:marLeft w:val="0"/>
          <w:marRight w:val="0"/>
          <w:marTop w:val="0"/>
          <w:marBottom w:val="0"/>
          <w:divBdr>
            <w:top w:val="none" w:sz="0" w:space="0" w:color="auto"/>
            <w:left w:val="none" w:sz="0" w:space="0" w:color="auto"/>
            <w:bottom w:val="none" w:sz="0" w:space="0" w:color="auto"/>
            <w:right w:val="none" w:sz="0" w:space="0" w:color="auto"/>
          </w:divBdr>
          <w:divsChild>
            <w:div w:id="15213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A2C5-F4DF-4612-8B3C-80E532E3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Pesho</dc:creator>
  <cp:keywords/>
  <dc:description/>
  <cp:lastModifiedBy>Pesho</cp:lastModifiedBy>
  <cp:revision>3</cp:revision>
  <dcterms:created xsi:type="dcterms:W3CDTF">2015-09-18T16:46:00Z</dcterms:created>
  <dcterms:modified xsi:type="dcterms:W3CDTF">2015-09-18T16:46:00Z</dcterms:modified>
</cp:coreProperties>
</file>