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3B71" w:rsidRPr="00C33B71" w:rsidRDefault="00C33B71" w:rsidP="00C33B71">
      <w:r w:rsidRPr="00C33B71">
        <w:rPr>
          <w:b/>
          <w:bCs/>
        </w:rPr>
        <w:t>1. Обществено положение на централната банка</w:t>
      </w:r>
    </w:p>
    <w:p w:rsidR="00C33B71" w:rsidRPr="00C33B71" w:rsidRDefault="00C33B71" w:rsidP="00C33B71">
      <w:r w:rsidRPr="00C33B71">
        <w:t>Главната функция на банковата система е да мобилизира временно свободните парични ресурси в страната и да осигури тяхното насочване в сфери с най-висока ефективност. Освен това тя следва да осигури условия за нормално, извършване на разплащанията в страната, бързо и надеждно осъществяване на платежния оборот. От друга страна природата на банковото дело предполага наличието на определен риск, както за самите банки, така и за вложителите. В банковата система съществува опасността от това, че загубеното доверие към отделната търговска банка може да се разпространи върху системата като цяло (това явление е известна като „системен риск”). Затова банковата дейност във всички страни подлежи на една много по-висока степен на регулиране, контрол и надзор в сравнение с другите форми на n</w:t>
      </w:r>
    </w:p>
    <w:p w:rsidR="00F516E2" w:rsidRDefault="00F516E2" w:rsidP="00C33B71"/>
    <w:p w:rsidR="00C33B71" w:rsidRPr="00C33B71" w:rsidRDefault="00C33B71" w:rsidP="00C33B71">
      <w:r w:rsidRPr="00C33B71">
        <w:rPr>
          <w:b/>
          <w:bCs/>
        </w:rPr>
        <w:t>2. Икономическо положение на централната банка</w:t>
      </w:r>
    </w:p>
    <w:p w:rsidR="00C33B71" w:rsidRPr="00C33B71" w:rsidRDefault="00C33B71" w:rsidP="00C33B71">
      <w:r w:rsidRPr="00C33B71">
        <w:t> </w:t>
      </w:r>
    </w:p>
    <w:p w:rsidR="00C33B71" w:rsidRPr="00C33B71" w:rsidRDefault="00C33B71" w:rsidP="00C33B71">
      <w:r w:rsidRPr="00C33B71">
        <w:t>Икономическото положение на централната банка се свежда до това, че:</w:t>
      </w:r>
    </w:p>
    <w:p w:rsidR="00C33B71" w:rsidRPr="00C33B71" w:rsidRDefault="00C33B71" w:rsidP="00C33B71">
      <w:pPr>
        <w:numPr>
          <w:ilvl w:val="0"/>
          <w:numId w:val="1"/>
        </w:numPr>
      </w:pPr>
      <w:r w:rsidRPr="00C33B71">
        <w:t xml:space="preserve">тя е </w:t>
      </w:r>
      <w:r w:rsidRPr="00C33B71">
        <w:rPr>
          <w:i/>
          <w:iCs/>
        </w:rPr>
        <w:t>банка на банките -</w:t>
      </w:r>
      <w:r w:rsidRPr="00C33B71">
        <w:rPr>
          <w:b/>
          <w:bCs/>
        </w:rPr>
        <w:t xml:space="preserve"> </w:t>
      </w:r>
      <w:r w:rsidRPr="00C33B71">
        <w:t>като банкер на останалите банки тя е задължена:</w:t>
      </w:r>
    </w:p>
    <w:p w:rsidR="00C33B71" w:rsidRPr="00C33B71" w:rsidRDefault="00C33B71" w:rsidP="00C33B71">
      <w:r w:rsidRPr="00C33B71">
        <w:t>- да провежда своята парично-кредитна политика по отношение на останалите банки, използвайки свои специфични инструменти, регулирайки по косвен начин икономиката на страната</w:t>
      </w:r>
    </w:p>
    <w:p w:rsidR="00C33B71" w:rsidRPr="00C33B71" w:rsidRDefault="00C33B71" w:rsidP="00C33B71">
      <w:r w:rsidRPr="00C33B71">
        <w:t>- да осъществява парична емисия;</w:t>
      </w:r>
    </w:p>
    <w:p w:rsidR="00C33B71" w:rsidRPr="00C33B71" w:rsidRDefault="00C33B71" w:rsidP="00C33B71">
      <w:r w:rsidRPr="00C33B71">
        <w:t>- да служи като последен, краен кредитор (кредитор от последна инстанция), извършвайки при нужда рефинансиране на банките;</w:t>
      </w:r>
    </w:p>
    <w:p w:rsidR="00C33B71" w:rsidRPr="00C33B71" w:rsidRDefault="00C33B71" w:rsidP="00C33B71">
      <w:r w:rsidRPr="00C33B71">
        <w:t>- да провежда контрол и надзор върху дейността на останалите банки.</w:t>
      </w:r>
    </w:p>
    <w:p w:rsidR="00C33B71" w:rsidRPr="00C33B71" w:rsidRDefault="00C33B71" w:rsidP="00C33B71">
      <w:pPr>
        <w:numPr>
          <w:ilvl w:val="0"/>
          <w:numId w:val="2"/>
        </w:numPr>
      </w:pPr>
      <w:r w:rsidRPr="00C33B71">
        <w:t>тя е банка на държавата, в случаите когато предоставя на държавата било то преки (необезпечени) кредити или кредити срещу залог на държавни ценни книжа за покриване на бюджетните дефицити.</w:t>
      </w:r>
    </w:p>
    <w:p w:rsidR="00C33B71" w:rsidRPr="00C33B71" w:rsidRDefault="00C33B71" w:rsidP="00C33B71">
      <w:r w:rsidRPr="00C33B71">
        <w:t>Държавата може да получи заеми и извън централната банка - от другите банки, фирмите или населението или от вън. Онази част от държавния дълг, по която кредитор е централната банка се нарича монетизиран дълг.</w:t>
      </w:r>
    </w:p>
    <w:p w:rsidR="00C33B71" w:rsidRPr="00C33B71" w:rsidRDefault="00C33B71" w:rsidP="00C33B71">
      <w:pPr>
        <w:numPr>
          <w:ilvl w:val="0"/>
          <w:numId w:val="3"/>
        </w:numPr>
      </w:pPr>
      <w:r w:rsidRPr="00C33B71">
        <w:t xml:space="preserve">тя е </w:t>
      </w:r>
      <w:r w:rsidRPr="00C33B71">
        <w:rPr>
          <w:i/>
          <w:iCs/>
        </w:rPr>
        <w:t>банка на нацията</w:t>
      </w:r>
      <w:r w:rsidRPr="00C33B71">
        <w:t xml:space="preserve"> , в случаите когато съхранява валутните и златните резерви на страната и участвува в различни международни валутно-финансови организации.</w:t>
      </w:r>
    </w:p>
    <w:p w:rsidR="00C33B71" w:rsidRDefault="00C33B71" w:rsidP="00C33B71"/>
    <w:p w:rsidR="00C33B71" w:rsidRPr="00C33B71" w:rsidRDefault="00C33B71" w:rsidP="00C33B71">
      <w:r w:rsidRPr="00C33B71">
        <w:rPr>
          <w:b/>
          <w:bCs/>
        </w:rPr>
        <w:t>3. Цели и инструменти на паричната политика на централната банка</w:t>
      </w:r>
    </w:p>
    <w:p w:rsidR="00C33B71" w:rsidRPr="00C33B71" w:rsidRDefault="00C33B71" w:rsidP="00C33B71">
      <w:r w:rsidRPr="00C33B71">
        <w:t> </w:t>
      </w:r>
    </w:p>
    <w:p w:rsidR="00C33B71" w:rsidRPr="00C33B71" w:rsidRDefault="00C33B71" w:rsidP="00C33B71">
      <w:r w:rsidRPr="00C33B71">
        <w:t>Паричната политика на централната банка е съвкупност от решения и действия, насочени към регулиране величината на паричната маса и въздействие върху лихвените равнища.</w:t>
      </w:r>
      <w:hyperlink r:id="rId6" w:anchor="sdfootnote1sym" w:history="1">
        <w:r w:rsidRPr="00C33B71">
          <w:rPr>
            <w:rStyle w:val="Hyperlink"/>
            <w:vertAlign w:val="superscript"/>
          </w:rPr>
          <w:t>1</w:t>
        </w:r>
      </w:hyperlink>
    </w:p>
    <w:p w:rsidR="00C33B71" w:rsidRPr="00C33B71" w:rsidRDefault="00C33B71" w:rsidP="00C33B71">
      <w:r w:rsidRPr="00C33B71">
        <w:rPr>
          <w:i/>
          <w:iCs/>
        </w:rPr>
        <w:t>Целите</w:t>
      </w:r>
      <w:r w:rsidRPr="00C33B71">
        <w:t xml:space="preserve"> на паричната политика на Централната банка се подразделят на:</w:t>
      </w:r>
      <w:hyperlink r:id="rId7" w:anchor="sdfootnote2sym" w:history="1">
        <w:r w:rsidRPr="00C33B71">
          <w:rPr>
            <w:rStyle w:val="Hyperlink"/>
            <w:vertAlign w:val="superscript"/>
          </w:rPr>
          <w:t>2</w:t>
        </w:r>
      </w:hyperlink>
    </w:p>
    <w:p w:rsidR="00C33B71" w:rsidRPr="00C33B71" w:rsidRDefault="00C33B71" w:rsidP="00C33B71">
      <w:pPr>
        <w:numPr>
          <w:ilvl w:val="0"/>
          <w:numId w:val="4"/>
        </w:numPr>
      </w:pPr>
      <w:r w:rsidRPr="00C33B71">
        <w:t>крайни цели;</w:t>
      </w:r>
    </w:p>
    <w:p w:rsidR="00C33B71" w:rsidRPr="00C33B71" w:rsidRDefault="00C33B71" w:rsidP="00C33B71">
      <w:pPr>
        <w:numPr>
          <w:ilvl w:val="0"/>
          <w:numId w:val="4"/>
        </w:numPr>
      </w:pPr>
      <w:r w:rsidRPr="00C33B71">
        <w:lastRenderedPageBreak/>
        <w:t>междинни цели;</w:t>
      </w:r>
    </w:p>
    <w:p w:rsidR="00C33B71" w:rsidRPr="00C33B71" w:rsidRDefault="00C33B71" w:rsidP="00C33B71">
      <w:pPr>
        <w:numPr>
          <w:ilvl w:val="0"/>
          <w:numId w:val="4"/>
        </w:numPr>
      </w:pPr>
      <w:r w:rsidRPr="00C33B71">
        <w:t>оперативни цели.</w:t>
      </w:r>
    </w:p>
    <w:p w:rsidR="00C33B71" w:rsidRPr="00C33B71" w:rsidRDefault="00C33B71" w:rsidP="00C33B71">
      <w:r w:rsidRPr="00C33B71">
        <w:rPr>
          <w:i/>
          <w:iCs/>
        </w:rPr>
        <w:t>Крайните цели</w:t>
      </w:r>
      <w:r w:rsidRPr="00C33B71">
        <w:t xml:space="preserve"> обикновено се изразяват в достигането на определени темпове на икономически растеж и брутен вътрешен продукт, заетост, съхраняване покупателната сила на парите и стабилност на валутните курсове, на паричните и капиталовите пазари. Централната банка не е в състояние да повлияе пряко и незабавно върху крайните си цели.</w:t>
      </w:r>
    </w:p>
    <w:p w:rsidR="00C33B71" w:rsidRPr="00C33B71" w:rsidRDefault="00C33B71" w:rsidP="00C33B71">
      <w:r w:rsidRPr="00C33B71">
        <w:rPr>
          <w:i/>
          <w:iCs/>
        </w:rPr>
        <w:t>Междинните цели</w:t>
      </w:r>
      <w:r w:rsidRPr="00C33B71">
        <w:t xml:space="preserve"> са тези, върху които тя непосредствено може да въздейства е оттам да влияе върху крайните цели. Като междинни цели най-често се споменават паричните агрегати или лихвените проценти.</w:t>
      </w:r>
    </w:p>
    <w:p w:rsidR="00C33B71" w:rsidRPr="00C33B71" w:rsidRDefault="00C33B71" w:rsidP="00C33B71">
      <w:r w:rsidRPr="00C33B71">
        <w:t xml:space="preserve">Дори и върху междинните цели централната банка не винаги непосредствено може да въздейства и тогава тя поставя </w:t>
      </w:r>
      <w:r w:rsidRPr="00C33B71">
        <w:rPr>
          <w:i/>
          <w:iCs/>
        </w:rPr>
        <w:t>оперативните си цели</w:t>
      </w:r>
      <w:r w:rsidRPr="00C33B71">
        <w:t xml:space="preserve"> касаещи напр. величината на банковите резерви, достъпа до рефинансиране на търговските банки, размера на покупките или продажбите на ценни книжа на паричния пазар и т.н. Непосредствено тя въздейства върху оперативните цели чрез своите специфични инструменти за регулиране - сконтовата политика, задължителните минимални резерви и операциите на открит паричен пазар.</w:t>
      </w:r>
    </w:p>
    <w:p w:rsidR="00C33B71" w:rsidRPr="00C33B71" w:rsidRDefault="00C33B71" w:rsidP="00C33B71">
      <w:r w:rsidRPr="00C33B71">
        <w:t>В зависимост от начините за въздействие върху дейността на търговските банки, а оттук и върху икономиката като цяло инструментите на централната банка се обособяват в две групи - преки и косвени.</w:t>
      </w:r>
    </w:p>
    <w:p w:rsidR="00C33B71" w:rsidRPr="00C33B71" w:rsidRDefault="00C33B71" w:rsidP="00C33B71">
      <w:r w:rsidRPr="00C33B71">
        <w:rPr>
          <w:i/>
          <w:iCs/>
        </w:rPr>
        <w:t>Преките инструменти</w:t>
      </w:r>
      <w:r w:rsidRPr="00C33B71">
        <w:t xml:space="preserve"> те определят по административен път и като правило са задължителни. Такива могат да бъдат:</w:t>
      </w:r>
    </w:p>
    <w:p w:rsidR="00C33B71" w:rsidRPr="00C33B71" w:rsidRDefault="00C33B71" w:rsidP="00C33B71">
      <w:pPr>
        <w:numPr>
          <w:ilvl w:val="0"/>
          <w:numId w:val="5"/>
        </w:numPr>
      </w:pPr>
      <w:r w:rsidRPr="00C33B71">
        <w:t>кредитните тавани (лимити, плафони), с които пряко се определя максималния размер на предоставените кредити от търговските банки;</w:t>
      </w:r>
    </w:p>
    <w:p w:rsidR="00C33B71" w:rsidRPr="00C33B71" w:rsidRDefault="00C33B71" w:rsidP="00C33B71">
      <w:pPr>
        <w:numPr>
          <w:ilvl w:val="0"/>
          <w:numId w:val="5"/>
        </w:numPr>
      </w:pPr>
      <w:r w:rsidRPr="00C33B71">
        <w:t>административно определяните лихвени проценти по депозитите или кредитите;</w:t>
      </w:r>
    </w:p>
    <w:p w:rsidR="00C33B71" w:rsidRPr="00C33B71" w:rsidRDefault="00C33B71" w:rsidP="00C33B71">
      <w:pPr>
        <w:numPr>
          <w:ilvl w:val="0"/>
          <w:numId w:val="5"/>
        </w:numPr>
      </w:pPr>
      <w:r w:rsidRPr="00C33B71">
        <w:t>установяване на твърди (фиксирани) валутни курсове и др.Тяхното предимство се свежда главно до бързото и силното им въздействие за определен период. Същевременно имат съществени недостатъци, а именно: не са достатъчно гъвкави за осъществяване на прецизно регулиране; имат административно-задължителен характер и противоречат на принципите на пазарната икономика; чрез тях изкуствено се повишава ролята на администрацията и бюрокрацията в централната банка.</w:t>
      </w:r>
    </w:p>
    <w:p w:rsidR="00C33B71" w:rsidRPr="00C33B71" w:rsidRDefault="00C33B71" w:rsidP="00C33B71">
      <w:r w:rsidRPr="00C33B71">
        <w:rPr>
          <w:i/>
          <w:iCs/>
        </w:rPr>
        <w:t>Косвените инструменти</w:t>
      </w:r>
      <w:r w:rsidRPr="00C33B71">
        <w:t xml:space="preserve"> по принцип не са задължителни и ефекта от тяхното действие не винаги е незабавен. Подредени според историческото им възникване това са главно сконтовата политика на централната банка, регулирането на задължителните минимални резерви на търговските банки в нея и операциите на открит паричен пазар. Първите два от своя страна понякога се наричат инструменти за “грубо регулиране”, докато третия се приема като инструмент за “фино регулиране”. Затова подредени според съвременното им значение на първо място би следвало да се посочат операциите на открития пазар, а сконтовата политика постепенно намалява своето значение.</w:t>
      </w:r>
    </w:p>
    <w:p w:rsidR="00C33B71" w:rsidRPr="00C33B71" w:rsidRDefault="00C33B71" w:rsidP="00C33B71">
      <w:r w:rsidRPr="00C33B71">
        <w:t xml:space="preserve">СКОНТОВАТА ПОЛИТИКА се прилага за пръв път през 19 в. в банковата система на Англия. Под сконтова политика се разбира съвкупността от условия, при които централната банка ресконтира (купува) търговски полици от търговските банки. Известно е, че при сконтирането централната банка не изплаща пълната стойност на полицата, а само сума в размер на т. нар. сконтов процент, който представлява лихвения процент на централната банка при покупката на </w:t>
      </w:r>
      <w:r w:rsidRPr="00C33B71">
        <w:lastRenderedPageBreak/>
        <w:t>полици. Зависимостта на банките от ресурсите получавани при сконтирането предопределя и потенциалната възможност на централната банка чрез изменение на сконтовия лихвен процент да оказва определено въздействие върху ресурсните възможности на останалите банки и лихвените проценти по техните кредити. По правило процентът, който удържат банките от фирмите при сконтирането, е по-висок от реесконтовия процент от търговските банки от централната банка при реесконтирането, като по този начин се осигурява печалба за банките. Освен това равнището на реесконтовия процент обикновено е по-високо и от това на лихвите по депозитите, плащани на клиентите от търговските банки. Така последните ще имат интерес да разширяват депозитната си база вместо да търсят по-скъпото рефинансиране от централната банка. Когато централната банка провежда рестриктивна (ограничителна) политика (политика на “скъпи пари”) повишаването на сконтовия процент означава оскъпяване на ресурса, получаван от останалите банки при рефинансирането, в резултат на което се ограничават техните кредитни възможности и се повишават лихвените проценти на предоставените от банките кредити. При намаляване на сконтовия процент търсенето на сравнително евтиния ресурс от централната банка нараства, увеличават се кредитните възможности на самите търговски банки и увеличавайки кредитното предлагане намаляват лихвените проценти. Следователно сконтовата политика се свежда до рестриктивна политика (политика на “скъпи пари”) и експанзионистична политика (на “евтини пари”). централната банка може да провежда сконтовата политика и посредством количествени ограничения като определя лимити за реесконтиране и чрез тяхното увеличаване или намаляване да влияе върху възможностите на търговските банки да получават сконтови кредити.</w:t>
      </w:r>
    </w:p>
    <w:p w:rsidR="00C33B71" w:rsidRPr="00C33B71" w:rsidRDefault="00C33B71" w:rsidP="00C33B71">
      <w:r w:rsidRPr="00C33B71">
        <w:t>Основното предимство на сконтовата политика е, че чрез нея централната банка може да осъществява ролята си на “кредитор от последна инстанция”, като при нужда предоставя допълнителни ресурси на търговските банки. Тя има и съществени недостатъци, които намаляват значението и в съвременните условия, а именно:</w:t>
      </w:r>
    </w:p>
    <w:p w:rsidR="00C33B71" w:rsidRPr="00C33B71" w:rsidRDefault="00C33B71" w:rsidP="00C33B71">
      <w:pPr>
        <w:numPr>
          <w:ilvl w:val="0"/>
          <w:numId w:val="6"/>
        </w:numPr>
      </w:pPr>
      <w:r w:rsidRPr="00C33B71">
        <w:t>не е достатъчно гъвкав инструмент за регулиране тъй като сконтовия процент се фиксира и остава неизменен за определен период;</w:t>
      </w:r>
    </w:p>
    <w:p w:rsidR="00C33B71" w:rsidRPr="00C33B71" w:rsidRDefault="00C33B71" w:rsidP="00C33B71">
      <w:pPr>
        <w:numPr>
          <w:ilvl w:val="0"/>
          <w:numId w:val="6"/>
        </w:numPr>
      </w:pPr>
      <w:r w:rsidRPr="00C33B71">
        <w:t>сконтовия процент е един и същ за всички банки, за цялата банкова система и това пречи за известно селективно регулиране на търговските банки;</w:t>
      </w:r>
    </w:p>
    <w:p w:rsidR="00C33B71" w:rsidRPr="00C33B71" w:rsidRDefault="00C33B71" w:rsidP="00C33B71">
      <w:pPr>
        <w:numPr>
          <w:ilvl w:val="0"/>
          <w:numId w:val="6"/>
        </w:numPr>
      </w:pPr>
      <w:r w:rsidRPr="00C33B71">
        <w:t>силата на сконтовата политика до голяма степен се предопределя от степента на зависимост на ТБ от ресурса на централната банка. Ако те са относително независими и разполагат с добра ресурсна база, не биха се обръщали често за сконтови кредити, а оттук не биха били чувствителни към сконтовия процент;</w:t>
      </w:r>
    </w:p>
    <w:p w:rsidR="00C33B71" w:rsidRPr="00C33B71" w:rsidRDefault="00C33B71" w:rsidP="00C33B71">
      <w:pPr>
        <w:numPr>
          <w:ilvl w:val="0"/>
          <w:numId w:val="6"/>
        </w:numPr>
      </w:pPr>
      <w:r w:rsidRPr="00C33B71">
        <w:t>изисква се добре развито парично обръщение. Ако такова не съществува, това пречи за нормалното провеждане на сконтовата политика;</w:t>
      </w:r>
    </w:p>
    <w:p w:rsidR="00C33B71" w:rsidRPr="00C33B71" w:rsidRDefault="00C33B71" w:rsidP="00C33B71">
      <w:pPr>
        <w:numPr>
          <w:ilvl w:val="0"/>
          <w:numId w:val="6"/>
        </w:numPr>
      </w:pPr>
      <w:r w:rsidRPr="00C33B71">
        <w:t>при сконтовата политика централната банка има известна пасивна роля, докато активната страна са търговските банки, които сами решават да ползват или не кредити от централната банка.</w:t>
      </w:r>
    </w:p>
    <w:p w:rsidR="00C33B71" w:rsidRPr="00C33B71" w:rsidRDefault="00C33B71" w:rsidP="00C33B71">
      <w:r w:rsidRPr="00C33B71">
        <w:t xml:space="preserve">Регулиране чрез ЗАДЪЛЖИТЕЛНИТЕ МИНИМАЛНИ РЕЗЕРВИ. Те са част от ресурсите на търговските банки, които те са длъжни да държат по сметка в централната банка. Размерът на тези средства се определя като процент спрямо привлечените средства. Според нашето законодателство този процент в момента е 12% от величината на влоговете. Процентът на минималните задължителни резерви може да бъде един и същ за всички депозити, но може </w:t>
      </w:r>
      <w:r w:rsidRPr="00C33B71">
        <w:lastRenderedPageBreak/>
        <w:t>да се диференцира според техния характер и да е различен за срочните и безсрочните, левовите и валутните или според титуляра на сметките (физически или юридически лица).</w:t>
      </w:r>
    </w:p>
    <w:p w:rsidR="00C33B71" w:rsidRPr="00C33B71" w:rsidRDefault="00C33B71" w:rsidP="00C33B71">
      <w:r w:rsidRPr="00C33B71">
        <w:t>За първи път този инструмент е въведен в САЩ през 1913 г. с цел да се осигури минимална ликвидност на търговските банки и резерв от пари, с които да се гарантира компенсации на вложителите в случай на ликвидация на банки. Практиката е показала, че в кризисни периоди тези резерви са недостатъчни да защитят интересите на вложителите, но те продължили да се използват и то главно като инструмент за парично-кредитно регулиране.</w:t>
      </w:r>
    </w:p>
    <w:p w:rsidR="00C33B71" w:rsidRPr="00C33B71" w:rsidRDefault="00C33B71" w:rsidP="00C33B71">
      <w:r w:rsidRPr="00C33B71">
        <w:t>Величината на съхраняваните от дадена банка резерви в централната банка ще зависи от два фактора: 1) от процента на резервите и 2) от обема на привлечените средства (депозитите). При неизменна норма на резервите тяхната сума се увеличава с нарастването на привлечените средства. Ако процента на резервите е по срочните депозити е по малък, а този по безсрочните - по голям, както е обикновено, търговските банки ще имат интерес да увеличават своите срочни депозити, което е целта и на централната банка за осигуряване на по-голяма ликвидност на банките. Между процента на задължителните минимални и активните операции на банките съществува взаимна връзка - при даден размер на привлечените средства нарастването на процента ограничава обема на предоставените кредити и другите активи и ги прави по-скъпи и обратно. Освен това минималните задължителни резерви по правило се държат по безлихвена сметка в централната банка или по тях се плаща сравнително ниска лихва. Оттук чрез изменението на процента на резервите се въздейства не само върху ликвидността, но и върху рентабилността на останалите банки. Като се увеличи размера на резервите се ограничава възможността на банките да предоставят кредити, а оттук и възможността да получават повече лихви. Същевременно банките плащат лихви по привлечените средства и за да запазят своята рентабилност при повишаване размера на резервите ще повишат лихвите по предоставените от тях кредити.</w:t>
      </w:r>
    </w:p>
    <w:p w:rsidR="00C33B71" w:rsidRPr="00C33B71" w:rsidRDefault="00C33B71" w:rsidP="00C33B71">
      <w:r w:rsidRPr="00C33B71">
        <w:t>Основните предимства на този инструмент на централната банка са:</w:t>
      </w:r>
    </w:p>
    <w:p w:rsidR="00C33B71" w:rsidRPr="00C33B71" w:rsidRDefault="00C33B71" w:rsidP="00C33B71">
      <w:pPr>
        <w:numPr>
          <w:ilvl w:val="0"/>
          <w:numId w:val="7"/>
        </w:numPr>
      </w:pPr>
      <w:r w:rsidRPr="00C33B71">
        <w:t>има изключително силно и бързо действие по отношение на търговските банки и техните интереси;</w:t>
      </w:r>
    </w:p>
    <w:p w:rsidR="00C33B71" w:rsidRPr="00C33B71" w:rsidRDefault="00C33B71" w:rsidP="00C33B71">
      <w:pPr>
        <w:numPr>
          <w:ilvl w:val="0"/>
          <w:numId w:val="7"/>
        </w:numPr>
      </w:pPr>
      <w:r w:rsidRPr="00C33B71">
        <w:t>инициативата за неговото използване и активната роля има изцяло централната банка;</w:t>
      </w:r>
    </w:p>
    <w:p w:rsidR="00C33B71" w:rsidRPr="00C33B71" w:rsidRDefault="00C33B71" w:rsidP="00C33B71">
      <w:pPr>
        <w:numPr>
          <w:ilvl w:val="0"/>
          <w:numId w:val="7"/>
        </w:numPr>
      </w:pPr>
      <w:r w:rsidRPr="00C33B71">
        <w:t>прилага се сравнително лесно и не изисква наличието на някакви допълнителни условия (например търговски полици за сконтовата политика или ценни книжа за операциите на открит паричен пазар).</w:t>
      </w:r>
    </w:p>
    <w:p w:rsidR="00C33B71" w:rsidRPr="00C33B71" w:rsidRDefault="00C33B71" w:rsidP="00C33B71">
      <w:r w:rsidRPr="00C33B71">
        <w:t>Основният му недостатък е, че не е достатъчно гъвкав инструмент за регулиране, тъй като процентът на ЗМР се определя от централната банка и остава постоянен за определен период от време. Този процент е еднакъв за всички банки и не позволява селективно регулиране.</w:t>
      </w:r>
    </w:p>
    <w:p w:rsidR="00C33B71" w:rsidRPr="00C33B71" w:rsidRDefault="00C33B71" w:rsidP="00C33B71">
      <w:r w:rsidRPr="00C33B71">
        <w:t xml:space="preserve">ОПЕРАЦИИ НА ОТКРИТИЯ ПАРИЧЕН ПАЗАР. Това са операциите, при които централната банка купува или продава ценни книжа от (на) търговските банки. Обект на покупко-продажбите са главно държавни ценни книжа и то предимно краткосрочни. Когато централната банка купува централната банка, заплащайки на търговските банки тяхната цена, всъщност увеличава техните ресурсни възможности за кредитиране, увеличаване кредитното предлагане и намаляване на лихвените проценти по кредитите. Ако централната банка води рестриктивна политика тя продава централната банка на паричния пазар като стимулира купуването им от търговските банки по изгоден за тях курс. По този начин тя изтегля част от техните ресурси, </w:t>
      </w:r>
      <w:r w:rsidRPr="00C33B71">
        <w:lastRenderedPageBreak/>
        <w:t>намалява кредитните им възможности и увеличава лихвените проценти по предоставените от тях кредити. Парите стават “по-скъпи” и се намалява търсенето на кредити.</w:t>
      </w:r>
    </w:p>
    <w:p w:rsidR="00C33B71" w:rsidRPr="00C33B71" w:rsidRDefault="00C33B71" w:rsidP="00C33B71">
      <w:r w:rsidRPr="00C33B71">
        <w:t>Използването на този инструмент изисква добре развит пазар на централната банка, което предполага на пазара да се намират разнообразни видове централната банка и на него да участват достатъчно финансово-кредитни институции. Предимствата на този инструмент се свеждат до следните:</w:t>
      </w:r>
    </w:p>
    <w:p w:rsidR="00C33B71" w:rsidRPr="00C33B71" w:rsidRDefault="00C33B71" w:rsidP="00C33B71">
      <w:pPr>
        <w:numPr>
          <w:ilvl w:val="0"/>
          <w:numId w:val="8"/>
        </w:numPr>
      </w:pPr>
      <w:r w:rsidRPr="00C33B71">
        <w:t>операциите стават по инициатива на централната банка, тя е активната страна и има пълен контрол върху тях;</w:t>
      </w:r>
    </w:p>
    <w:p w:rsidR="00C33B71" w:rsidRPr="00C33B71" w:rsidRDefault="00C33B71" w:rsidP="00C33B71">
      <w:pPr>
        <w:numPr>
          <w:ilvl w:val="0"/>
          <w:numId w:val="8"/>
        </w:numPr>
      </w:pPr>
      <w:r w:rsidRPr="00C33B71">
        <w:t>те са най-гъвкавият инструмент за регулиране, тъй като централната банка може да реши да купи, респ. да продаде както малки така и големи количества и да извършва тези операции практически непрекъснато като при нужда текущо коригира своето поведение.</w:t>
      </w:r>
    </w:p>
    <w:p w:rsidR="00C33B71" w:rsidRDefault="00C33B71" w:rsidP="00C33B71"/>
    <w:p w:rsidR="00C33B71" w:rsidRPr="00C33B71" w:rsidRDefault="00C33B71" w:rsidP="00C33B71">
      <w:r w:rsidRPr="00C33B71">
        <w:rPr>
          <w:b/>
          <w:bCs/>
        </w:rPr>
        <w:t>4. Особености на БНБ в условията на валутен борд</w:t>
      </w:r>
    </w:p>
    <w:p w:rsidR="00C33B71" w:rsidRPr="00C33B71" w:rsidRDefault="00C33B71" w:rsidP="00C33B71"/>
    <w:p w:rsidR="00C33B71" w:rsidRPr="00C33B71" w:rsidRDefault="00C33B71" w:rsidP="00C33B71">
      <w:r w:rsidRPr="00C33B71">
        <w:t>Основните органи за управление на БНБ са управителният съвет, управителят и тримата подуправители, избрани за ръководители на съответните управления. управителен съвет, пленарен съвет и управител. Управителният съвет се състои от седем членове, които трябва да са български граждани: управителят на банката, тримата подуправители и трима други членове. Мандатът на членовете на управителния съвет е променен от 5 на 6 години.</w:t>
      </w:r>
    </w:p>
    <w:p w:rsidR="00C33B71" w:rsidRPr="00C33B71" w:rsidRDefault="00C33B71" w:rsidP="00C33B71">
      <w:r w:rsidRPr="00C33B71">
        <w:t>В БНБ се обособяват три основни управления - "Емисионно", "Банково" и "Банков надзор", всяко от които се ръководи пряко от подуправител, определен от Народното събрание. Основната функция на управление "Емисионно" е да поддържа пълно валутно покритие на общата сума на паричните задължения на БНБ, като предприема необходимите действия за ефективно управление на международните валутни активи на банката. Управление "Банково" осъществява функциите на кредитор от последна инстанция при възникването на системен риск за стабилността на банковата система. Надзорът върху банковата система се осъществява от подуправителя, ръководещ управление "Банков надзор". Издаването и отнемането на разрешение (лиценз) за банкова дейност се извършва с акт на управителя по предложение на подуправителя.</w:t>
      </w:r>
    </w:p>
    <w:p w:rsidR="00C33B71" w:rsidRPr="00C33B71" w:rsidRDefault="00C33B71" w:rsidP="00C33B71">
      <w:r w:rsidRPr="00C33B71">
        <w:t>В условията на валутен борд общата сума на паричните задължения на Българска народна банка не може да превишава левовия еквивалент на брутния международен валутен резерв, като левовият еквивалент се определя на основата на официалния валутен курс на лева към еврото. Официалният валутен курс на лева към еврото е 1,95583 лева за 1 евро. При поискване БНБ е длъжна да продава и да купува без ограничения на територията на страната евро срещу левове на основата на спот валутни курсове, които не могат да се отклоняват от официалния валутен курс с повече от 0.5%, включително начисляваните такси, комисионни и други разходи за клиента.</w:t>
      </w:r>
    </w:p>
    <w:p w:rsidR="00C33B71" w:rsidRPr="00C33B71" w:rsidRDefault="00C33B71" w:rsidP="00C33B71">
      <w:r w:rsidRPr="00C33B71">
        <w:t>Забранява се на БНБ да предоставя кредити под каквато и да било форма на държавата или на държавни институции освен кредити за сметка на покупки на специални права на тираж от Международния валутен фонд.</w:t>
      </w:r>
    </w:p>
    <w:p w:rsidR="00C33B71" w:rsidRDefault="00C33B71" w:rsidP="00C33B71"/>
    <w:p w:rsidR="00C33B71" w:rsidRPr="00C33B71" w:rsidRDefault="00C33B71" w:rsidP="00C33B71">
      <w:r w:rsidRPr="00C33B71">
        <w:rPr>
          <w:b/>
          <w:bCs/>
        </w:rPr>
        <w:lastRenderedPageBreak/>
        <w:t>5. Банков надзор</w:t>
      </w:r>
    </w:p>
    <w:p w:rsidR="00C33B71" w:rsidRPr="00C33B71" w:rsidRDefault="00C33B71" w:rsidP="00C33B71">
      <w:r w:rsidRPr="00C33B71">
        <w:t> </w:t>
      </w:r>
    </w:p>
    <w:p w:rsidR="00C33B71" w:rsidRPr="00C33B71" w:rsidRDefault="00C33B71" w:rsidP="00C33B71">
      <w:r w:rsidRPr="00C33B71">
        <w:t>Основната цел на контрола и надзора от страна на централната банка е да осигури надеждност, стабилност и общественото доверие към банките и банковата система. В световната банкова практика са известни два варианта за осъществяване на контрол и надзор върху банковата система - организиран от самата централна банка или изпълняван от специално създадени правителствени органи извън нея. У нас е възприет първият вариант</w:t>
      </w:r>
    </w:p>
    <w:p w:rsidR="00C33B71" w:rsidRPr="00C33B71" w:rsidRDefault="00C33B71" w:rsidP="00C33B71">
      <w:r w:rsidRPr="00C33B71">
        <w:t>БНБ установява:</w:t>
      </w:r>
    </w:p>
    <w:p w:rsidR="00C33B71" w:rsidRPr="00C33B71" w:rsidRDefault="00C33B71" w:rsidP="00C33B71">
      <w:r w:rsidRPr="00C33B71">
        <w:rPr>
          <w:i/>
          <w:iCs/>
        </w:rPr>
        <w:t>1. минимално изискван собствен капитал</w:t>
      </w:r>
      <w:r w:rsidRPr="00C33B71">
        <w:t xml:space="preserve"> за създаване (лицензиране) на банка (10 млн. лв.);</w:t>
      </w:r>
    </w:p>
    <w:p w:rsidR="00C33B71" w:rsidRPr="00C33B71" w:rsidRDefault="00C33B71" w:rsidP="00C33B71">
      <w:r w:rsidRPr="00C33B71">
        <w:t>2. задължителни изисквания към управлението на активите на търговските банки като:</w:t>
      </w:r>
    </w:p>
    <w:p w:rsidR="00C33B71" w:rsidRPr="00C33B71" w:rsidRDefault="00C33B71" w:rsidP="00C33B71">
      <w:pPr>
        <w:numPr>
          <w:ilvl w:val="0"/>
          <w:numId w:val="9"/>
        </w:numPr>
      </w:pPr>
      <w:r w:rsidRPr="00C33B71">
        <w:t xml:space="preserve">определя </w:t>
      </w:r>
      <w:r w:rsidRPr="00C33B71">
        <w:rPr>
          <w:i/>
          <w:iCs/>
        </w:rPr>
        <w:t>размера на задължителните минимални резерви</w:t>
      </w:r>
      <w:r w:rsidRPr="00C33B71">
        <w:t>, които банките са длъжни да поддържат при нея в определен размер (в момента 12%);</w:t>
      </w:r>
    </w:p>
    <w:p w:rsidR="00C33B71" w:rsidRPr="00C33B71" w:rsidRDefault="00C33B71" w:rsidP="00C33B71">
      <w:pPr>
        <w:numPr>
          <w:ilvl w:val="0"/>
          <w:numId w:val="9"/>
        </w:numPr>
      </w:pPr>
      <w:r w:rsidRPr="00C33B71">
        <w:t xml:space="preserve">одобрява </w:t>
      </w:r>
      <w:r w:rsidRPr="00C33B71">
        <w:rPr>
          <w:i/>
          <w:iCs/>
        </w:rPr>
        <w:t>вътрешните правилници за организация на кредитна дейност</w:t>
      </w:r>
      <w:r w:rsidRPr="00C33B71">
        <w:t xml:space="preserve"> на ТБ;</w:t>
      </w:r>
    </w:p>
    <w:p w:rsidR="00C33B71" w:rsidRPr="00C33B71" w:rsidRDefault="00C33B71" w:rsidP="00C33B71">
      <w:pPr>
        <w:numPr>
          <w:ilvl w:val="0"/>
          <w:numId w:val="9"/>
        </w:numPr>
      </w:pPr>
      <w:r w:rsidRPr="00C33B71">
        <w:t xml:space="preserve">установява нормите за </w:t>
      </w:r>
      <w:r w:rsidRPr="00C33B71">
        <w:rPr>
          <w:i/>
          <w:iCs/>
        </w:rPr>
        <w:t>големите (рисковите) кредити</w:t>
      </w:r>
      <w:r w:rsidRPr="00C33B71">
        <w:t xml:space="preserve"> - тези над 10 на сто спрямо собствения капитал на банката. Търговските банки се задължават да уведомяват централната банка за предоставените големи кредити в 15 дневен срок от предоставянето им, а също да представят тримесечен отчет за големите кредити;</w:t>
      </w:r>
    </w:p>
    <w:p w:rsidR="00C33B71" w:rsidRPr="00C33B71" w:rsidRDefault="00C33B71" w:rsidP="00C33B71">
      <w:pPr>
        <w:numPr>
          <w:ilvl w:val="0"/>
          <w:numId w:val="9"/>
        </w:numPr>
      </w:pPr>
      <w:r w:rsidRPr="00C33B71">
        <w:t xml:space="preserve">изгражда </w:t>
      </w:r>
      <w:r w:rsidRPr="00C33B71">
        <w:rPr>
          <w:i/>
          <w:iCs/>
        </w:rPr>
        <w:t>Централен кредитен регистър</w:t>
      </w:r>
      <w:r w:rsidRPr="00C33B71">
        <w:t xml:space="preserve"> на банките;</w:t>
      </w:r>
    </w:p>
    <w:p w:rsidR="00C33B71" w:rsidRPr="00C33B71" w:rsidRDefault="00C33B71" w:rsidP="00C33B71">
      <w:pPr>
        <w:numPr>
          <w:ilvl w:val="0"/>
          <w:numId w:val="9"/>
        </w:numPr>
      </w:pPr>
      <w:r w:rsidRPr="00C33B71">
        <w:t xml:space="preserve">изгражда </w:t>
      </w:r>
      <w:r w:rsidRPr="00C33B71">
        <w:rPr>
          <w:i/>
          <w:iCs/>
        </w:rPr>
        <w:t>Централен регистър на особените залози</w:t>
      </w:r>
      <w:r w:rsidRPr="00C33B71">
        <w:t>;</w:t>
      </w:r>
    </w:p>
    <w:p w:rsidR="00C33B71" w:rsidRPr="00C33B71" w:rsidRDefault="00C33B71" w:rsidP="00C33B71">
      <w:pPr>
        <w:numPr>
          <w:ilvl w:val="0"/>
          <w:numId w:val="9"/>
        </w:numPr>
      </w:pPr>
      <w:r w:rsidRPr="00C33B71">
        <w:t>задължава банките да притежават имущество в размер не по-голям от 50 на сто от размера на собствения им капитал;</w:t>
      </w:r>
    </w:p>
    <w:p w:rsidR="00C33B71" w:rsidRPr="00C33B71" w:rsidRDefault="00C33B71" w:rsidP="00C33B71">
      <w:pPr>
        <w:numPr>
          <w:ilvl w:val="0"/>
          <w:numId w:val="9"/>
        </w:numPr>
      </w:pPr>
      <w:r w:rsidRPr="00C33B71">
        <w:rPr>
          <w:i/>
          <w:iCs/>
        </w:rPr>
        <w:t>забранява банките да придобиват акции в нефинансови предприятия</w:t>
      </w:r>
      <w:r w:rsidRPr="00C33B71">
        <w:t xml:space="preserve"> на стойност по-голяма от 15 на сто от собствения им капитал;</w:t>
      </w:r>
    </w:p>
    <w:p w:rsidR="00C33B71" w:rsidRPr="00C33B71" w:rsidRDefault="00C33B71" w:rsidP="00C33B71">
      <w:r w:rsidRPr="00C33B71">
        <w:t xml:space="preserve">3. установява </w:t>
      </w:r>
      <w:r w:rsidRPr="00C33B71">
        <w:rPr>
          <w:i/>
          <w:iCs/>
        </w:rPr>
        <w:t>изискванията за капиталовата адекватност</w:t>
      </w:r>
      <w:r w:rsidRPr="00C33B71">
        <w:t xml:space="preserve"> на банките, изразени чрез нормативно регламентирано съотношение между собствения капитал на търговската банка и рисково претегления размер на нейните активи. Според международните капиталови стандарти (Базел II) това съотношение следва да бъде не по-малко от 8% (у нас не по-малко от 12%);</w:t>
      </w:r>
    </w:p>
    <w:p w:rsidR="00C33B71" w:rsidRPr="00C33B71" w:rsidRDefault="00C33B71" w:rsidP="00C33B71">
      <w:r w:rsidRPr="00C33B71">
        <w:t xml:space="preserve">4. установява </w:t>
      </w:r>
      <w:r w:rsidRPr="00C33B71">
        <w:rPr>
          <w:i/>
          <w:iCs/>
        </w:rPr>
        <w:t>изискванията за ликвидност</w:t>
      </w:r>
      <w:r w:rsidRPr="00C33B71">
        <w:t xml:space="preserve"> на банките. Последните се задължават да представят пред централната банка тримесечни отчети за ликвидността си;</w:t>
      </w:r>
    </w:p>
    <w:p w:rsidR="00C33B71" w:rsidRPr="00C33B71" w:rsidRDefault="00C33B71" w:rsidP="00C33B71">
      <w:r w:rsidRPr="00C33B71">
        <w:t xml:space="preserve">5. изгражда </w:t>
      </w:r>
      <w:r w:rsidRPr="00C33B71">
        <w:rPr>
          <w:i/>
          <w:iCs/>
        </w:rPr>
        <w:t>система за гарантиране на влоговете в банките</w:t>
      </w:r>
      <w:r w:rsidRPr="00C33B71">
        <w:t xml:space="preserve"> чрез специално създаден Фонд за гарантиране на банковите влогове. Обект на държавна гаранция са влоговете в размер до 40 хил. лв. в дадена банка;</w:t>
      </w:r>
    </w:p>
    <w:p w:rsidR="00C33B71" w:rsidRPr="00C33B71" w:rsidRDefault="00C33B71" w:rsidP="00C33B71">
      <w:r w:rsidRPr="00C33B71">
        <w:t xml:space="preserve">6. определя начина на </w:t>
      </w:r>
      <w:r w:rsidRPr="00C33B71">
        <w:rPr>
          <w:i/>
          <w:iCs/>
        </w:rPr>
        <w:t>формиране на резервите (провизиите) от търговските банки</w:t>
      </w:r>
      <w:r w:rsidRPr="00C33B71">
        <w:t>:</w:t>
      </w:r>
    </w:p>
    <w:p w:rsidR="00C33B71" w:rsidRPr="00C33B71" w:rsidRDefault="00C33B71" w:rsidP="00C33B71">
      <w:pPr>
        <w:numPr>
          <w:ilvl w:val="0"/>
          <w:numId w:val="10"/>
        </w:numPr>
      </w:pPr>
      <w:r w:rsidRPr="00C33B71">
        <w:rPr>
          <w:i/>
          <w:iCs/>
        </w:rPr>
        <w:t>общите резерви - фонд “Резервен</w:t>
      </w:r>
      <w:r w:rsidRPr="00C33B71">
        <w:t>”. Банките отделят най-малко 1/5 от чистата си печалбата за образуването на фонд “Резервен”(общи резерви), дотогава докато средствата по фонда не достигнат 1,25 на сто от сумата на банковите активи. Банките не могат да изплащат дивиденти на акционерите си преди да са заделили необходимите средства за фонд “Резервен”;</w:t>
      </w:r>
    </w:p>
    <w:p w:rsidR="00C33B71" w:rsidRPr="00C33B71" w:rsidRDefault="00C33B71" w:rsidP="00C33B71">
      <w:pPr>
        <w:numPr>
          <w:ilvl w:val="0"/>
          <w:numId w:val="10"/>
        </w:numPr>
      </w:pPr>
      <w:r w:rsidRPr="00C33B71">
        <w:rPr>
          <w:i/>
          <w:iCs/>
        </w:rPr>
        <w:lastRenderedPageBreak/>
        <w:t>специфичните (специалните) резерви (провизии)</w:t>
      </w:r>
      <w:r w:rsidRPr="00C33B71">
        <w:t>, заделяни на базата на специална тарифа и специални критерии за класификация на кредитите и другите активи, определени от централната банка чрез специална наредба.</w:t>
      </w:r>
    </w:p>
    <w:p w:rsidR="00C33B71" w:rsidRPr="00C33B71" w:rsidRDefault="00C33B71" w:rsidP="00C33B71">
      <w:r w:rsidRPr="00C33B71">
        <w:t xml:space="preserve">7. </w:t>
      </w:r>
      <w:r w:rsidRPr="00C33B71">
        <w:rPr>
          <w:i/>
          <w:iCs/>
        </w:rPr>
        <w:t>проверки и ревизии</w:t>
      </w:r>
      <w:r w:rsidRPr="00C33B71">
        <w:t xml:space="preserve"> на място в търговските банки;</w:t>
      </w:r>
    </w:p>
    <w:p w:rsidR="00C33B71" w:rsidRPr="00C33B71" w:rsidRDefault="00C33B71" w:rsidP="00C33B71">
      <w:r w:rsidRPr="00C33B71">
        <w:rPr>
          <w:i/>
          <w:iCs/>
        </w:rPr>
        <w:t>Мерките или принудителните действия</w:t>
      </w:r>
      <w:r w:rsidRPr="00C33B71">
        <w:t xml:space="preserve"> на централната банка спрямо останалите банки могат да се градират според сериозността на нарушението, както следва:</w:t>
      </w:r>
    </w:p>
    <w:p w:rsidR="00C33B71" w:rsidRPr="00C33B71" w:rsidRDefault="00C33B71" w:rsidP="00C33B71">
      <w:pPr>
        <w:numPr>
          <w:ilvl w:val="0"/>
          <w:numId w:val="11"/>
        </w:numPr>
      </w:pPr>
      <w:r w:rsidRPr="00C33B71">
        <w:t>предупреждение към банката;</w:t>
      </w:r>
    </w:p>
    <w:p w:rsidR="00C33B71" w:rsidRPr="00C33B71" w:rsidRDefault="00C33B71" w:rsidP="00C33B71">
      <w:pPr>
        <w:numPr>
          <w:ilvl w:val="0"/>
          <w:numId w:val="11"/>
        </w:numPr>
      </w:pPr>
      <w:r w:rsidRPr="00C33B71">
        <w:t>споразумение със съответната банка за предприемане на мерки в рамките на определен срок;</w:t>
      </w:r>
    </w:p>
    <w:p w:rsidR="00C33B71" w:rsidRPr="00C33B71" w:rsidRDefault="00C33B71" w:rsidP="00C33B71">
      <w:pPr>
        <w:numPr>
          <w:ilvl w:val="0"/>
          <w:numId w:val="11"/>
        </w:numPr>
      </w:pPr>
      <w:r w:rsidRPr="00C33B71">
        <w:t>ограничаване дейността на банката;</w:t>
      </w:r>
    </w:p>
    <w:p w:rsidR="00C33B71" w:rsidRPr="00C33B71" w:rsidRDefault="00C33B71" w:rsidP="00C33B71">
      <w:pPr>
        <w:numPr>
          <w:ilvl w:val="0"/>
          <w:numId w:val="11"/>
        </w:numPr>
      </w:pPr>
      <w:r w:rsidRPr="00C33B71">
        <w:t>смяна на ръководството;</w:t>
      </w:r>
    </w:p>
    <w:p w:rsidR="00C33B71" w:rsidRPr="00C33B71" w:rsidRDefault="00C33B71" w:rsidP="00C33B71">
      <w:pPr>
        <w:numPr>
          <w:ilvl w:val="0"/>
          <w:numId w:val="11"/>
        </w:numPr>
      </w:pPr>
      <w:r w:rsidRPr="00C33B71">
        <w:t>парична глоба или неизплащане на дивиденти;</w:t>
      </w:r>
    </w:p>
    <w:p w:rsidR="00C33B71" w:rsidRPr="00C33B71" w:rsidRDefault="00C33B71" w:rsidP="00C33B71">
      <w:pPr>
        <w:numPr>
          <w:ilvl w:val="0"/>
          <w:numId w:val="11"/>
        </w:numPr>
      </w:pPr>
      <w:r w:rsidRPr="00C33B71">
        <w:t>отнемане на разрешението за банкова дейност.</w:t>
      </w:r>
    </w:p>
    <w:p w:rsidR="00C33B71" w:rsidRDefault="00C33B71" w:rsidP="00C33B71"/>
    <w:p w:rsidR="00C33B71" w:rsidRPr="00C33B71" w:rsidRDefault="00C33B71" w:rsidP="00C33B71">
      <w:pPr>
        <w:rPr>
          <w:b/>
          <w:bCs/>
        </w:rPr>
      </w:pPr>
      <w:r w:rsidRPr="00C33B71">
        <w:rPr>
          <w:b/>
          <w:bCs/>
        </w:rPr>
        <w:t>Ключови думи и понятия</w:t>
      </w:r>
    </w:p>
    <w:p w:rsidR="00C33B71" w:rsidRPr="00C33B71" w:rsidRDefault="00C33B71" w:rsidP="00C33B71">
      <w:r w:rsidRPr="00C33B71">
        <w:t> </w:t>
      </w:r>
    </w:p>
    <w:p w:rsidR="00C33B71" w:rsidRPr="00C33B71" w:rsidRDefault="00C33B71" w:rsidP="00C33B71">
      <w:pPr>
        <w:numPr>
          <w:ilvl w:val="0"/>
          <w:numId w:val="12"/>
        </w:numPr>
      </w:pPr>
      <w:r w:rsidRPr="00C33B71">
        <w:t>Централна банка</w:t>
      </w:r>
    </w:p>
    <w:p w:rsidR="00C33B71" w:rsidRPr="00C33B71" w:rsidRDefault="00C33B71" w:rsidP="00C33B71">
      <w:pPr>
        <w:numPr>
          <w:ilvl w:val="0"/>
          <w:numId w:val="12"/>
        </w:numPr>
      </w:pPr>
      <w:r w:rsidRPr="00C33B71">
        <w:t>Системен риск</w:t>
      </w:r>
    </w:p>
    <w:p w:rsidR="00C33B71" w:rsidRPr="00C33B71" w:rsidRDefault="00C33B71" w:rsidP="00C33B71">
      <w:pPr>
        <w:numPr>
          <w:ilvl w:val="0"/>
          <w:numId w:val="12"/>
        </w:numPr>
      </w:pPr>
      <w:r w:rsidRPr="00C33B71">
        <w:t>Банка на банките</w:t>
      </w:r>
    </w:p>
    <w:p w:rsidR="00C33B71" w:rsidRPr="00C33B71" w:rsidRDefault="00C33B71" w:rsidP="00C33B71">
      <w:pPr>
        <w:numPr>
          <w:ilvl w:val="0"/>
          <w:numId w:val="12"/>
        </w:numPr>
      </w:pPr>
      <w:r w:rsidRPr="00C33B71">
        <w:t>Банка на държавата</w:t>
      </w:r>
    </w:p>
    <w:p w:rsidR="00C33B71" w:rsidRPr="00C33B71" w:rsidRDefault="00C33B71" w:rsidP="00C33B71">
      <w:pPr>
        <w:numPr>
          <w:ilvl w:val="0"/>
          <w:numId w:val="12"/>
        </w:numPr>
      </w:pPr>
      <w:r w:rsidRPr="00C33B71">
        <w:t>Банка на нацията</w:t>
      </w:r>
    </w:p>
    <w:p w:rsidR="00C33B71" w:rsidRPr="00C33B71" w:rsidRDefault="00C33B71" w:rsidP="00C33B71">
      <w:pPr>
        <w:numPr>
          <w:ilvl w:val="0"/>
          <w:numId w:val="12"/>
        </w:numPr>
      </w:pPr>
      <w:r w:rsidRPr="00C33B71">
        <w:t>Кредитор от последна инстанция</w:t>
      </w:r>
    </w:p>
    <w:p w:rsidR="00C33B71" w:rsidRPr="00C33B71" w:rsidRDefault="00C33B71" w:rsidP="00C33B71">
      <w:pPr>
        <w:numPr>
          <w:ilvl w:val="0"/>
          <w:numId w:val="12"/>
        </w:numPr>
      </w:pPr>
      <w:r w:rsidRPr="00C33B71">
        <w:t>Инструменти на паричната политика</w:t>
      </w:r>
    </w:p>
    <w:p w:rsidR="00C33B71" w:rsidRPr="00C33B71" w:rsidRDefault="00C33B71" w:rsidP="00C33B71">
      <w:pPr>
        <w:numPr>
          <w:ilvl w:val="0"/>
          <w:numId w:val="12"/>
        </w:numPr>
      </w:pPr>
      <w:r w:rsidRPr="00C33B71">
        <w:t>Сконтовата политика,</w:t>
      </w:r>
    </w:p>
    <w:p w:rsidR="00C33B71" w:rsidRPr="00C33B71" w:rsidRDefault="00C33B71" w:rsidP="00C33B71">
      <w:pPr>
        <w:numPr>
          <w:ilvl w:val="0"/>
          <w:numId w:val="12"/>
        </w:numPr>
      </w:pPr>
      <w:r w:rsidRPr="00C33B71">
        <w:t>Задължителни минимални резерви</w:t>
      </w:r>
    </w:p>
    <w:p w:rsidR="00C33B71" w:rsidRPr="00C33B71" w:rsidRDefault="00C33B71" w:rsidP="00C33B71">
      <w:pPr>
        <w:numPr>
          <w:ilvl w:val="0"/>
          <w:numId w:val="12"/>
        </w:numPr>
      </w:pPr>
      <w:r w:rsidRPr="00C33B71">
        <w:t>Операции на открит паричен пазар</w:t>
      </w:r>
    </w:p>
    <w:p w:rsidR="00C33B71" w:rsidRPr="00C33B71" w:rsidRDefault="00C33B71" w:rsidP="00C33B71">
      <w:pPr>
        <w:numPr>
          <w:ilvl w:val="0"/>
          <w:numId w:val="12"/>
        </w:numPr>
      </w:pPr>
      <w:r w:rsidRPr="00C33B71">
        <w:t>Банков надзор</w:t>
      </w:r>
    </w:p>
    <w:p w:rsidR="00C33B71" w:rsidRPr="00C33B71" w:rsidRDefault="00C33B71" w:rsidP="00C33B71">
      <w:bookmarkStart w:id="0" w:name="_GoBack"/>
      <w:bookmarkEnd w:id="0"/>
    </w:p>
    <w:sectPr w:rsidR="00C33B71" w:rsidRPr="00C33B7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4953AC"/>
    <w:multiLevelType w:val="multilevel"/>
    <w:tmpl w:val="816CA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B52F9A"/>
    <w:multiLevelType w:val="multilevel"/>
    <w:tmpl w:val="BE427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1E780F"/>
    <w:multiLevelType w:val="multilevel"/>
    <w:tmpl w:val="4BA80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1838DD"/>
    <w:multiLevelType w:val="multilevel"/>
    <w:tmpl w:val="63728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AC6F09"/>
    <w:multiLevelType w:val="multilevel"/>
    <w:tmpl w:val="FBB05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476287"/>
    <w:multiLevelType w:val="multilevel"/>
    <w:tmpl w:val="36803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13721B"/>
    <w:multiLevelType w:val="multilevel"/>
    <w:tmpl w:val="716CB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1E54D0"/>
    <w:multiLevelType w:val="multilevel"/>
    <w:tmpl w:val="F63AA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3E47A17"/>
    <w:multiLevelType w:val="multilevel"/>
    <w:tmpl w:val="2A3A4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CA427B7"/>
    <w:multiLevelType w:val="multilevel"/>
    <w:tmpl w:val="9FE00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58426CF"/>
    <w:multiLevelType w:val="multilevel"/>
    <w:tmpl w:val="122EC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2F6354"/>
    <w:multiLevelType w:val="multilevel"/>
    <w:tmpl w:val="A8DCA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11"/>
  </w:num>
  <w:num w:numId="4">
    <w:abstractNumId w:val="3"/>
  </w:num>
  <w:num w:numId="5">
    <w:abstractNumId w:val="9"/>
  </w:num>
  <w:num w:numId="6">
    <w:abstractNumId w:val="5"/>
  </w:num>
  <w:num w:numId="7">
    <w:abstractNumId w:val="2"/>
  </w:num>
  <w:num w:numId="8">
    <w:abstractNumId w:val="0"/>
  </w:num>
  <w:num w:numId="9">
    <w:abstractNumId w:val="4"/>
  </w:num>
  <w:num w:numId="10">
    <w:abstractNumId w:val="10"/>
  </w:num>
  <w:num w:numId="11">
    <w:abstractNumId w:val="1"/>
  </w:num>
  <w:num w:numId="12">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A41"/>
    <w:rsid w:val="0007703F"/>
    <w:rsid w:val="00116712"/>
    <w:rsid w:val="00185232"/>
    <w:rsid w:val="00192B1F"/>
    <w:rsid w:val="001E65E8"/>
    <w:rsid w:val="002A6171"/>
    <w:rsid w:val="00353A41"/>
    <w:rsid w:val="00566CEC"/>
    <w:rsid w:val="005B30C7"/>
    <w:rsid w:val="006562BD"/>
    <w:rsid w:val="006D0E1B"/>
    <w:rsid w:val="00856BD2"/>
    <w:rsid w:val="008B6621"/>
    <w:rsid w:val="00913BA1"/>
    <w:rsid w:val="0096054B"/>
    <w:rsid w:val="009D756E"/>
    <w:rsid w:val="00A70D3F"/>
    <w:rsid w:val="00A85923"/>
    <w:rsid w:val="00C02AA8"/>
    <w:rsid w:val="00C3341C"/>
    <w:rsid w:val="00C33B71"/>
    <w:rsid w:val="00CC4337"/>
    <w:rsid w:val="00D247C7"/>
    <w:rsid w:val="00D3218F"/>
    <w:rsid w:val="00D34574"/>
    <w:rsid w:val="00D36C89"/>
    <w:rsid w:val="00E33AC7"/>
    <w:rsid w:val="00E5592D"/>
    <w:rsid w:val="00F003BE"/>
    <w:rsid w:val="00F516E2"/>
    <w:rsid w:val="00FB331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CB503F-6A40-4E68-BA4D-B72E461ED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13BA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3BA1"/>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913BA1"/>
    <w:rPr>
      <w:i/>
      <w:iCs/>
    </w:rPr>
  </w:style>
  <w:style w:type="paragraph" w:styleId="NoSpacing">
    <w:name w:val="No Spacing"/>
    <w:uiPriority w:val="1"/>
    <w:qFormat/>
    <w:rsid w:val="00913BA1"/>
    <w:pPr>
      <w:spacing w:after="0" w:line="240" w:lineRule="auto"/>
    </w:pPr>
  </w:style>
  <w:style w:type="character" w:styleId="Hyperlink">
    <w:name w:val="Hyperlink"/>
    <w:basedOn w:val="DefaultParagraphFont"/>
    <w:uiPriority w:val="99"/>
    <w:unhideWhenUsed/>
    <w:rsid w:val="00FB331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67908">
      <w:bodyDiv w:val="1"/>
      <w:marLeft w:val="0"/>
      <w:marRight w:val="0"/>
      <w:marTop w:val="0"/>
      <w:marBottom w:val="0"/>
      <w:divBdr>
        <w:top w:val="none" w:sz="0" w:space="0" w:color="auto"/>
        <w:left w:val="none" w:sz="0" w:space="0" w:color="auto"/>
        <w:bottom w:val="none" w:sz="0" w:space="0" w:color="auto"/>
        <w:right w:val="none" w:sz="0" w:space="0" w:color="auto"/>
      </w:divBdr>
      <w:divsChild>
        <w:div w:id="798033377">
          <w:marLeft w:val="0"/>
          <w:marRight w:val="0"/>
          <w:marTop w:val="0"/>
          <w:marBottom w:val="0"/>
          <w:divBdr>
            <w:top w:val="none" w:sz="0" w:space="0" w:color="auto"/>
            <w:left w:val="none" w:sz="0" w:space="0" w:color="auto"/>
            <w:bottom w:val="none" w:sz="0" w:space="0" w:color="auto"/>
            <w:right w:val="none" w:sz="0" w:space="0" w:color="auto"/>
          </w:divBdr>
          <w:divsChild>
            <w:div w:id="109571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18656">
      <w:bodyDiv w:val="1"/>
      <w:marLeft w:val="0"/>
      <w:marRight w:val="0"/>
      <w:marTop w:val="0"/>
      <w:marBottom w:val="0"/>
      <w:divBdr>
        <w:top w:val="none" w:sz="0" w:space="0" w:color="auto"/>
        <w:left w:val="none" w:sz="0" w:space="0" w:color="auto"/>
        <w:bottom w:val="none" w:sz="0" w:space="0" w:color="auto"/>
        <w:right w:val="none" w:sz="0" w:space="0" w:color="auto"/>
      </w:divBdr>
      <w:divsChild>
        <w:div w:id="1238248081">
          <w:marLeft w:val="0"/>
          <w:marRight w:val="0"/>
          <w:marTop w:val="0"/>
          <w:marBottom w:val="0"/>
          <w:divBdr>
            <w:top w:val="none" w:sz="0" w:space="0" w:color="auto"/>
            <w:left w:val="none" w:sz="0" w:space="0" w:color="auto"/>
            <w:bottom w:val="none" w:sz="0" w:space="0" w:color="auto"/>
            <w:right w:val="none" w:sz="0" w:space="0" w:color="auto"/>
          </w:divBdr>
          <w:divsChild>
            <w:div w:id="97468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81599">
      <w:bodyDiv w:val="1"/>
      <w:marLeft w:val="0"/>
      <w:marRight w:val="0"/>
      <w:marTop w:val="0"/>
      <w:marBottom w:val="0"/>
      <w:divBdr>
        <w:top w:val="none" w:sz="0" w:space="0" w:color="auto"/>
        <w:left w:val="none" w:sz="0" w:space="0" w:color="auto"/>
        <w:bottom w:val="none" w:sz="0" w:space="0" w:color="auto"/>
        <w:right w:val="none" w:sz="0" w:space="0" w:color="auto"/>
      </w:divBdr>
    </w:div>
    <w:div w:id="170023322">
      <w:bodyDiv w:val="1"/>
      <w:marLeft w:val="0"/>
      <w:marRight w:val="0"/>
      <w:marTop w:val="0"/>
      <w:marBottom w:val="0"/>
      <w:divBdr>
        <w:top w:val="none" w:sz="0" w:space="0" w:color="auto"/>
        <w:left w:val="none" w:sz="0" w:space="0" w:color="auto"/>
        <w:bottom w:val="none" w:sz="0" w:space="0" w:color="auto"/>
        <w:right w:val="none" w:sz="0" w:space="0" w:color="auto"/>
      </w:divBdr>
    </w:div>
    <w:div w:id="242565673">
      <w:bodyDiv w:val="1"/>
      <w:marLeft w:val="0"/>
      <w:marRight w:val="0"/>
      <w:marTop w:val="0"/>
      <w:marBottom w:val="0"/>
      <w:divBdr>
        <w:top w:val="none" w:sz="0" w:space="0" w:color="auto"/>
        <w:left w:val="none" w:sz="0" w:space="0" w:color="auto"/>
        <w:bottom w:val="none" w:sz="0" w:space="0" w:color="auto"/>
        <w:right w:val="none" w:sz="0" w:space="0" w:color="auto"/>
      </w:divBdr>
    </w:div>
    <w:div w:id="280959732">
      <w:bodyDiv w:val="1"/>
      <w:marLeft w:val="0"/>
      <w:marRight w:val="0"/>
      <w:marTop w:val="0"/>
      <w:marBottom w:val="0"/>
      <w:divBdr>
        <w:top w:val="none" w:sz="0" w:space="0" w:color="auto"/>
        <w:left w:val="none" w:sz="0" w:space="0" w:color="auto"/>
        <w:bottom w:val="none" w:sz="0" w:space="0" w:color="auto"/>
        <w:right w:val="none" w:sz="0" w:space="0" w:color="auto"/>
      </w:divBdr>
    </w:div>
    <w:div w:id="353847377">
      <w:bodyDiv w:val="1"/>
      <w:marLeft w:val="0"/>
      <w:marRight w:val="0"/>
      <w:marTop w:val="0"/>
      <w:marBottom w:val="0"/>
      <w:divBdr>
        <w:top w:val="none" w:sz="0" w:space="0" w:color="auto"/>
        <w:left w:val="none" w:sz="0" w:space="0" w:color="auto"/>
        <w:bottom w:val="none" w:sz="0" w:space="0" w:color="auto"/>
        <w:right w:val="none" w:sz="0" w:space="0" w:color="auto"/>
      </w:divBdr>
    </w:div>
    <w:div w:id="361711555">
      <w:bodyDiv w:val="1"/>
      <w:marLeft w:val="0"/>
      <w:marRight w:val="0"/>
      <w:marTop w:val="0"/>
      <w:marBottom w:val="0"/>
      <w:divBdr>
        <w:top w:val="none" w:sz="0" w:space="0" w:color="auto"/>
        <w:left w:val="none" w:sz="0" w:space="0" w:color="auto"/>
        <w:bottom w:val="none" w:sz="0" w:space="0" w:color="auto"/>
        <w:right w:val="none" w:sz="0" w:space="0" w:color="auto"/>
      </w:divBdr>
    </w:div>
    <w:div w:id="382293196">
      <w:bodyDiv w:val="1"/>
      <w:marLeft w:val="0"/>
      <w:marRight w:val="0"/>
      <w:marTop w:val="0"/>
      <w:marBottom w:val="0"/>
      <w:divBdr>
        <w:top w:val="none" w:sz="0" w:space="0" w:color="auto"/>
        <w:left w:val="none" w:sz="0" w:space="0" w:color="auto"/>
        <w:bottom w:val="none" w:sz="0" w:space="0" w:color="auto"/>
        <w:right w:val="none" w:sz="0" w:space="0" w:color="auto"/>
      </w:divBdr>
    </w:div>
    <w:div w:id="444274011">
      <w:bodyDiv w:val="1"/>
      <w:marLeft w:val="0"/>
      <w:marRight w:val="0"/>
      <w:marTop w:val="0"/>
      <w:marBottom w:val="0"/>
      <w:divBdr>
        <w:top w:val="none" w:sz="0" w:space="0" w:color="auto"/>
        <w:left w:val="none" w:sz="0" w:space="0" w:color="auto"/>
        <w:bottom w:val="none" w:sz="0" w:space="0" w:color="auto"/>
        <w:right w:val="none" w:sz="0" w:space="0" w:color="auto"/>
      </w:divBdr>
      <w:divsChild>
        <w:div w:id="1694334455">
          <w:marLeft w:val="0"/>
          <w:marRight w:val="0"/>
          <w:marTop w:val="0"/>
          <w:marBottom w:val="0"/>
          <w:divBdr>
            <w:top w:val="none" w:sz="0" w:space="0" w:color="auto"/>
            <w:left w:val="none" w:sz="0" w:space="0" w:color="auto"/>
            <w:bottom w:val="none" w:sz="0" w:space="0" w:color="auto"/>
            <w:right w:val="none" w:sz="0" w:space="0" w:color="auto"/>
          </w:divBdr>
          <w:divsChild>
            <w:div w:id="90434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40549">
      <w:bodyDiv w:val="1"/>
      <w:marLeft w:val="0"/>
      <w:marRight w:val="0"/>
      <w:marTop w:val="0"/>
      <w:marBottom w:val="0"/>
      <w:divBdr>
        <w:top w:val="none" w:sz="0" w:space="0" w:color="auto"/>
        <w:left w:val="none" w:sz="0" w:space="0" w:color="auto"/>
        <w:bottom w:val="none" w:sz="0" w:space="0" w:color="auto"/>
        <w:right w:val="none" w:sz="0" w:space="0" w:color="auto"/>
      </w:divBdr>
    </w:div>
    <w:div w:id="733436095">
      <w:bodyDiv w:val="1"/>
      <w:marLeft w:val="0"/>
      <w:marRight w:val="0"/>
      <w:marTop w:val="0"/>
      <w:marBottom w:val="0"/>
      <w:divBdr>
        <w:top w:val="none" w:sz="0" w:space="0" w:color="auto"/>
        <w:left w:val="none" w:sz="0" w:space="0" w:color="auto"/>
        <w:bottom w:val="none" w:sz="0" w:space="0" w:color="auto"/>
        <w:right w:val="none" w:sz="0" w:space="0" w:color="auto"/>
      </w:divBdr>
      <w:divsChild>
        <w:div w:id="123892278">
          <w:marLeft w:val="0"/>
          <w:marRight w:val="0"/>
          <w:marTop w:val="0"/>
          <w:marBottom w:val="0"/>
          <w:divBdr>
            <w:top w:val="none" w:sz="0" w:space="0" w:color="auto"/>
            <w:left w:val="none" w:sz="0" w:space="0" w:color="auto"/>
            <w:bottom w:val="none" w:sz="0" w:space="0" w:color="auto"/>
            <w:right w:val="none" w:sz="0" w:space="0" w:color="auto"/>
          </w:divBdr>
          <w:divsChild>
            <w:div w:id="69280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950925">
      <w:bodyDiv w:val="1"/>
      <w:marLeft w:val="0"/>
      <w:marRight w:val="0"/>
      <w:marTop w:val="0"/>
      <w:marBottom w:val="0"/>
      <w:divBdr>
        <w:top w:val="none" w:sz="0" w:space="0" w:color="auto"/>
        <w:left w:val="none" w:sz="0" w:space="0" w:color="auto"/>
        <w:bottom w:val="none" w:sz="0" w:space="0" w:color="auto"/>
        <w:right w:val="none" w:sz="0" w:space="0" w:color="auto"/>
      </w:divBdr>
      <w:divsChild>
        <w:div w:id="1708407887">
          <w:marLeft w:val="0"/>
          <w:marRight w:val="0"/>
          <w:marTop w:val="0"/>
          <w:marBottom w:val="0"/>
          <w:divBdr>
            <w:top w:val="none" w:sz="0" w:space="0" w:color="auto"/>
            <w:left w:val="none" w:sz="0" w:space="0" w:color="auto"/>
            <w:bottom w:val="none" w:sz="0" w:space="0" w:color="auto"/>
            <w:right w:val="none" w:sz="0" w:space="0" w:color="auto"/>
          </w:divBdr>
          <w:divsChild>
            <w:div w:id="179097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315707">
      <w:bodyDiv w:val="1"/>
      <w:marLeft w:val="0"/>
      <w:marRight w:val="0"/>
      <w:marTop w:val="0"/>
      <w:marBottom w:val="0"/>
      <w:divBdr>
        <w:top w:val="none" w:sz="0" w:space="0" w:color="auto"/>
        <w:left w:val="none" w:sz="0" w:space="0" w:color="auto"/>
        <w:bottom w:val="none" w:sz="0" w:space="0" w:color="auto"/>
        <w:right w:val="none" w:sz="0" w:space="0" w:color="auto"/>
      </w:divBdr>
      <w:divsChild>
        <w:div w:id="178082830">
          <w:marLeft w:val="0"/>
          <w:marRight w:val="0"/>
          <w:marTop w:val="0"/>
          <w:marBottom w:val="0"/>
          <w:divBdr>
            <w:top w:val="none" w:sz="0" w:space="0" w:color="auto"/>
            <w:left w:val="none" w:sz="0" w:space="0" w:color="auto"/>
            <w:bottom w:val="none" w:sz="0" w:space="0" w:color="auto"/>
            <w:right w:val="none" w:sz="0" w:space="0" w:color="auto"/>
          </w:divBdr>
          <w:divsChild>
            <w:div w:id="27337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971675">
      <w:bodyDiv w:val="1"/>
      <w:marLeft w:val="0"/>
      <w:marRight w:val="0"/>
      <w:marTop w:val="0"/>
      <w:marBottom w:val="0"/>
      <w:divBdr>
        <w:top w:val="none" w:sz="0" w:space="0" w:color="auto"/>
        <w:left w:val="none" w:sz="0" w:space="0" w:color="auto"/>
        <w:bottom w:val="none" w:sz="0" w:space="0" w:color="auto"/>
        <w:right w:val="none" w:sz="0" w:space="0" w:color="auto"/>
      </w:divBdr>
      <w:divsChild>
        <w:div w:id="1183857776">
          <w:marLeft w:val="0"/>
          <w:marRight w:val="0"/>
          <w:marTop w:val="0"/>
          <w:marBottom w:val="0"/>
          <w:divBdr>
            <w:top w:val="none" w:sz="0" w:space="0" w:color="auto"/>
            <w:left w:val="none" w:sz="0" w:space="0" w:color="auto"/>
            <w:bottom w:val="none" w:sz="0" w:space="0" w:color="auto"/>
            <w:right w:val="none" w:sz="0" w:space="0" w:color="auto"/>
          </w:divBdr>
          <w:divsChild>
            <w:div w:id="44585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729882">
      <w:bodyDiv w:val="1"/>
      <w:marLeft w:val="0"/>
      <w:marRight w:val="0"/>
      <w:marTop w:val="0"/>
      <w:marBottom w:val="0"/>
      <w:divBdr>
        <w:top w:val="none" w:sz="0" w:space="0" w:color="auto"/>
        <w:left w:val="none" w:sz="0" w:space="0" w:color="auto"/>
        <w:bottom w:val="none" w:sz="0" w:space="0" w:color="auto"/>
        <w:right w:val="none" w:sz="0" w:space="0" w:color="auto"/>
      </w:divBdr>
      <w:divsChild>
        <w:div w:id="494732927">
          <w:marLeft w:val="0"/>
          <w:marRight w:val="0"/>
          <w:marTop w:val="0"/>
          <w:marBottom w:val="0"/>
          <w:divBdr>
            <w:top w:val="none" w:sz="0" w:space="0" w:color="auto"/>
            <w:left w:val="none" w:sz="0" w:space="0" w:color="auto"/>
            <w:bottom w:val="none" w:sz="0" w:space="0" w:color="auto"/>
            <w:right w:val="none" w:sz="0" w:space="0" w:color="auto"/>
          </w:divBdr>
          <w:divsChild>
            <w:div w:id="1183589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300540">
      <w:bodyDiv w:val="1"/>
      <w:marLeft w:val="0"/>
      <w:marRight w:val="0"/>
      <w:marTop w:val="0"/>
      <w:marBottom w:val="0"/>
      <w:divBdr>
        <w:top w:val="none" w:sz="0" w:space="0" w:color="auto"/>
        <w:left w:val="none" w:sz="0" w:space="0" w:color="auto"/>
        <w:bottom w:val="none" w:sz="0" w:space="0" w:color="auto"/>
        <w:right w:val="none" w:sz="0" w:space="0" w:color="auto"/>
      </w:divBdr>
    </w:div>
    <w:div w:id="1166823491">
      <w:bodyDiv w:val="1"/>
      <w:marLeft w:val="0"/>
      <w:marRight w:val="0"/>
      <w:marTop w:val="0"/>
      <w:marBottom w:val="0"/>
      <w:divBdr>
        <w:top w:val="none" w:sz="0" w:space="0" w:color="auto"/>
        <w:left w:val="none" w:sz="0" w:space="0" w:color="auto"/>
        <w:bottom w:val="none" w:sz="0" w:space="0" w:color="auto"/>
        <w:right w:val="none" w:sz="0" w:space="0" w:color="auto"/>
      </w:divBdr>
      <w:divsChild>
        <w:div w:id="763455888">
          <w:marLeft w:val="0"/>
          <w:marRight w:val="0"/>
          <w:marTop w:val="0"/>
          <w:marBottom w:val="0"/>
          <w:divBdr>
            <w:top w:val="none" w:sz="0" w:space="0" w:color="auto"/>
            <w:left w:val="none" w:sz="0" w:space="0" w:color="auto"/>
            <w:bottom w:val="none" w:sz="0" w:space="0" w:color="auto"/>
            <w:right w:val="none" w:sz="0" w:space="0" w:color="auto"/>
          </w:divBdr>
          <w:divsChild>
            <w:div w:id="656496490">
              <w:marLeft w:val="0"/>
              <w:marRight w:val="0"/>
              <w:marTop w:val="0"/>
              <w:marBottom w:val="0"/>
              <w:divBdr>
                <w:top w:val="none" w:sz="0" w:space="0" w:color="auto"/>
                <w:left w:val="none" w:sz="0" w:space="0" w:color="auto"/>
                <w:bottom w:val="none" w:sz="0" w:space="0" w:color="auto"/>
                <w:right w:val="none" w:sz="0" w:space="0" w:color="auto"/>
              </w:divBdr>
            </w:div>
          </w:divsChild>
        </w:div>
        <w:div w:id="1323389846">
          <w:marLeft w:val="0"/>
          <w:marRight w:val="0"/>
          <w:marTop w:val="0"/>
          <w:marBottom w:val="0"/>
          <w:divBdr>
            <w:top w:val="none" w:sz="0" w:space="0" w:color="auto"/>
            <w:left w:val="none" w:sz="0" w:space="0" w:color="auto"/>
            <w:bottom w:val="none" w:sz="0" w:space="0" w:color="auto"/>
            <w:right w:val="none" w:sz="0" w:space="0" w:color="auto"/>
          </w:divBdr>
        </w:div>
      </w:divsChild>
    </w:div>
    <w:div w:id="1173029015">
      <w:bodyDiv w:val="1"/>
      <w:marLeft w:val="0"/>
      <w:marRight w:val="0"/>
      <w:marTop w:val="0"/>
      <w:marBottom w:val="0"/>
      <w:divBdr>
        <w:top w:val="none" w:sz="0" w:space="0" w:color="auto"/>
        <w:left w:val="none" w:sz="0" w:space="0" w:color="auto"/>
        <w:bottom w:val="none" w:sz="0" w:space="0" w:color="auto"/>
        <w:right w:val="none" w:sz="0" w:space="0" w:color="auto"/>
      </w:divBdr>
      <w:divsChild>
        <w:div w:id="2072078161">
          <w:marLeft w:val="0"/>
          <w:marRight w:val="0"/>
          <w:marTop w:val="0"/>
          <w:marBottom w:val="0"/>
          <w:divBdr>
            <w:top w:val="none" w:sz="0" w:space="0" w:color="auto"/>
            <w:left w:val="none" w:sz="0" w:space="0" w:color="auto"/>
            <w:bottom w:val="none" w:sz="0" w:space="0" w:color="auto"/>
            <w:right w:val="none" w:sz="0" w:space="0" w:color="auto"/>
          </w:divBdr>
          <w:divsChild>
            <w:div w:id="153252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313920">
      <w:bodyDiv w:val="1"/>
      <w:marLeft w:val="0"/>
      <w:marRight w:val="0"/>
      <w:marTop w:val="0"/>
      <w:marBottom w:val="0"/>
      <w:divBdr>
        <w:top w:val="none" w:sz="0" w:space="0" w:color="auto"/>
        <w:left w:val="none" w:sz="0" w:space="0" w:color="auto"/>
        <w:bottom w:val="none" w:sz="0" w:space="0" w:color="auto"/>
        <w:right w:val="none" w:sz="0" w:space="0" w:color="auto"/>
      </w:divBdr>
      <w:divsChild>
        <w:div w:id="1527981397">
          <w:marLeft w:val="0"/>
          <w:marRight w:val="0"/>
          <w:marTop w:val="0"/>
          <w:marBottom w:val="0"/>
          <w:divBdr>
            <w:top w:val="none" w:sz="0" w:space="0" w:color="auto"/>
            <w:left w:val="none" w:sz="0" w:space="0" w:color="auto"/>
            <w:bottom w:val="none" w:sz="0" w:space="0" w:color="auto"/>
            <w:right w:val="none" w:sz="0" w:space="0" w:color="auto"/>
          </w:divBdr>
          <w:divsChild>
            <w:div w:id="173566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948771">
      <w:bodyDiv w:val="1"/>
      <w:marLeft w:val="0"/>
      <w:marRight w:val="0"/>
      <w:marTop w:val="0"/>
      <w:marBottom w:val="0"/>
      <w:divBdr>
        <w:top w:val="none" w:sz="0" w:space="0" w:color="auto"/>
        <w:left w:val="none" w:sz="0" w:space="0" w:color="auto"/>
        <w:bottom w:val="none" w:sz="0" w:space="0" w:color="auto"/>
        <w:right w:val="none" w:sz="0" w:space="0" w:color="auto"/>
      </w:divBdr>
    </w:div>
    <w:div w:id="1387534134">
      <w:bodyDiv w:val="1"/>
      <w:marLeft w:val="0"/>
      <w:marRight w:val="0"/>
      <w:marTop w:val="0"/>
      <w:marBottom w:val="0"/>
      <w:divBdr>
        <w:top w:val="none" w:sz="0" w:space="0" w:color="auto"/>
        <w:left w:val="none" w:sz="0" w:space="0" w:color="auto"/>
        <w:bottom w:val="none" w:sz="0" w:space="0" w:color="auto"/>
        <w:right w:val="none" w:sz="0" w:space="0" w:color="auto"/>
      </w:divBdr>
    </w:div>
    <w:div w:id="1413968821">
      <w:bodyDiv w:val="1"/>
      <w:marLeft w:val="0"/>
      <w:marRight w:val="0"/>
      <w:marTop w:val="0"/>
      <w:marBottom w:val="0"/>
      <w:divBdr>
        <w:top w:val="none" w:sz="0" w:space="0" w:color="auto"/>
        <w:left w:val="none" w:sz="0" w:space="0" w:color="auto"/>
        <w:bottom w:val="none" w:sz="0" w:space="0" w:color="auto"/>
        <w:right w:val="none" w:sz="0" w:space="0" w:color="auto"/>
      </w:divBdr>
      <w:divsChild>
        <w:div w:id="1512184599">
          <w:marLeft w:val="0"/>
          <w:marRight w:val="0"/>
          <w:marTop w:val="0"/>
          <w:marBottom w:val="0"/>
          <w:divBdr>
            <w:top w:val="none" w:sz="0" w:space="0" w:color="auto"/>
            <w:left w:val="none" w:sz="0" w:space="0" w:color="auto"/>
            <w:bottom w:val="none" w:sz="0" w:space="0" w:color="auto"/>
            <w:right w:val="none" w:sz="0" w:space="0" w:color="auto"/>
          </w:divBdr>
          <w:divsChild>
            <w:div w:id="76160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745921">
      <w:bodyDiv w:val="1"/>
      <w:marLeft w:val="0"/>
      <w:marRight w:val="0"/>
      <w:marTop w:val="0"/>
      <w:marBottom w:val="0"/>
      <w:divBdr>
        <w:top w:val="none" w:sz="0" w:space="0" w:color="auto"/>
        <w:left w:val="none" w:sz="0" w:space="0" w:color="auto"/>
        <w:bottom w:val="none" w:sz="0" w:space="0" w:color="auto"/>
        <w:right w:val="none" w:sz="0" w:space="0" w:color="auto"/>
      </w:divBdr>
    </w:div>
    <w:div w:id="1422947541">
      <w:bodyDiv w:val="1"/>
      <w:marLeft w:val="0"/>
      <w:marRight w:val="0"/>
      <w:marTop w:val="0"/>
      <w:marBottom w:val="0"/>
      <w:divBdr>
        <w:top w:val="none" w:sz="0" w:space="0" w:color="auto"/>
        <w:left w:val="none" w:sz="0" w:space="0" w:color="auto"/>
        <w:bottom w:val="none" w:sz="0" w:space="0" w:color="auto"/>
        <w:right w:val="none" w:sz="0" w:space="0" w:color="auto"/>
      </w:divBdr>
      <w:divsChild>
        <w:div w:id="1059673390">
          <w:marLeft w:val="0"/>
          <w:marRight w:val="0"/>
          <w:marTop w:val="0"/>
          <w:marBottom w:val="0"/>
          <w:divBdr>
            <w:top w:val="none" w:sz="0" w:space="0" w:color="auto"/>
            <w:left w:val="none" w:sz="0" w:space="0" w:color="auto"/>
            <w:bottom w:val="none" w:sz="0" w:space="0" w:color="auto"/>
            <w:right w:val="none" w:sz="0" w:space="0" w:color="auto"/>
          </w:divBdr>
          <w:divsChild>
            <w:div w:id="102459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684049">
      <w:bodyDiv w:val="1"/>
      <w:marLeft w:val="0"/>
      <w:marRight w:val="0"/>
      <w:marTop w:val="0"/>
      <w:marBottom w:val="0"/>
      <w:divBdr>
        <w:top w:val="none" w:sz="0" w:space="0" w:color="auto"/>
        <w:left w:val="none" w:sz="0" w:space="0" w:color="auto"/>
        <w:bottom w:val="none" w:sz="0" w:space="0" w:color="auto"/>
        <w:right w:val="none" w:sz="0" w:space="0" w:color="auto"/>
      </w:divBdr>
      <w:divsChild>
        <w:div w:id="616184121">
          <w:marLeft w:val="0"/>
          <w:marRight w:val="0"/>
          <w:marTop w:val="0"/>
          <w:marBottom w:val="0"/>
          <w:divBdr>
            <w:top w:val="none" w:sz="0" w:space="0" w:color="auto"/>
            <w:left w:val="none" w:sz="0" w:space="0" w:color="auto"/>
            <w:bottom w:val="none" w:sz="0" w:space="0" w:color="auto"/>
            <w:right w:val="none" w:sz="0" w:space="0" w:color="auto"/>
          </w:divBdr>
          <w:divsChild>
            <w:div w:id="102918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427460">
      <w:bodyDiv w:val="1"/>
      <w:marLeft w:val="0"/>
      <w:marRight w:val="0"/>
      <w:marTop w:val="0"/>
      <w:marBottom w:val="0"/>
      <w:divBdr>
        <w:top w:val="none" w:sz="0" w:space="0" w:color="auto"/>
        <w:left w:val="none" w:sz="0" w:space="0" w:color="auto"/>
        <w:bottom w:val="none" w:sz="0" w:space="0" w:color="auto"/>
        <w:right w:val="none" w:sz="0" w:space="0" w:color="auto"/>
      </w:divBdr>
      <w:divsChild>
        <w:div w:id="965502138">
          <w:marLeft w:val="0"/>
          <w:marRight w:val="0"/>
          <w:marTop w:val="0"/>
          <w:marBottom w:val="0"/>
          <w:divBdr>
            <w:top w:val="none" w:sz="0" w:space="0" w:color="auto"/>
            <w:left w:val="none" w:sz="0" w:space="0" w:color="auto"/>
            <w:bottom w:val="none" w:sz="0" w:space="0" w:color="auto"/>
            <w:right w:val="none" w:sz="0" w:space="0" w:color="auto"/>
          </w:divBdr>
          <w:divsChild>
            <w:div w:id="69214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368108">
      <w:bodyDiv w:val="1"/>
      <w:marLeft w:val="0"/>
      <w:marRight w:val="0"/>
      <w:marTop w:val="0"/>
      <w:marBottom w:val="0"/>
      <w:divBdr>
        <w:top w:val="none" w:sz="0" w:space="0" w:color="auto"/>
        <w:left w:val="none" w:sz="0" w:space="0" w:color="auto"/>
        <w:bottom w:val="none" w:sz="0" w:space="0" w:color="auto"/>
        <w:right w:val="none" w:sz="0" w:space="0" w:color="auto"/>
      </w:divBdr>
      <w:divsChild>
        <w:div w:id="549073922">
          <w:marLeft w:val="0"/>
          <w:marRight w:val="0"/>
          <w:marTop w:val="0"/>
          <w:marBottom w:val="0"/>
          <w:divBdr>
            <w:top w:val="none" w:sz="0" w:space="0" w:color="auto"/>
            <w:left w:val="none" w:sz="0" w:space="0" w:color="auto"/>
            <w:bottom w:val="none" w:sz="0" w:space="0" w:color="auto"/>
            <w:right w:val="none" w:sz="0" w:space="0" w:color="auto"/>
          </w:divBdr>
          <w:divsChild>
            <w:div w:id="41787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597733">
      <w:bodyDiv w:val="1"/>
      <w:marLeft w:val="0"/>
      <w:marRight w:val="0"/>
      <w:marTop w:val="0"/>
      <w:marBottom w:val="0"/>
      <w:divBdr>
        <w:top w:val="none" w:sz="0" w:space="0" w:color="auto"/>
        <w:left w:val="none" w:sz="0" w:space="0" w:color="auto"/>
        <w:bottom w:val="none" w:sz="0" w:space="0" w:color="auto"/>
        <w:right w:val="none" w:sz="0" w:space="0" w:color="auto"/>
      </w:divBdr>
      <w:divsChild>
        <w:div w:id="940913003">
          <w:marLeft w:val="0"/>
          <w:marRight w:val="0"/>
          <w:marTop w:val="0"/>
          <w:marBottom w:val="0"/>
          <w:divBdr>
            <w:top w:val="none" w:sz="0" w:space="0" w:color="auto"/>
            <w:left w:val="none" w:sz="0" w:space="0" w:color="auto"/>
            <w:bottom w:val="none" w:sz="0" w:space="0" w:color="auto"/>
            <w:right w:val="none" w:sz="0" w:space="0" w:color="auto"/>
          </w:divBdr>
          <w:divsChild>
            <w:div w:id="87492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861820">
      <w:bodyDiv w:val="1"/>
      <w:marLeft w:val="0"/>
      <w:marRight w:val="0"/>
      <w:marTop w:val="0"/>
      <w:marBottom w:val="0"/>
      <w:divBdr>
        <w:top w:val="none" w:sz="0" w:space="0" w:color="auto"/>
        <w:left w:val="none" w:sz="0" w:space="0" w:color="auto"/>
        <w:bottom w:val="none" w:sz="0" w:space="0" w:color="auto"/>
        <w:right w:val="none" w:sz="0" w:space="0" w:color="auto"/>
      </w:divBdr>
    </w:div>
    <w:div w:id="1595434563">
      <w:bodyDiv w:val="1"/>
      <w:marLeft w:val="0"/>
      <w:marRight w:val="0"/>
      <w:marTop w:val="0"/>
      <w:marBottom w:val="0"/>
      <w:divBdr>
        <w:top w:val="none" w:sz="0" w:space="0" w:color="auto"/>
        <w:left w:val="none" w:sz="0" w:space="0" w:color="auto"/>
        <w:bottom w:val="none" w:sz="0" w:space="0" w:color="auto"/>
        <w:right w:val="none" w:sz="0" w:space="0" w:color="auto"/>
      </w:divBdr>
      <w:divsChild>
        <w:div w:id="2017461004">
          <w:marLeft w:val="0"/>
          <w:marRight w:val="0"/>
          <w:marTop w:val="0"/>
          <w:marBottom w:val="0"/>
          <w:divBdr>
            <w:top w:val="none" w:sz="0" w:space="0" w:color="auto"/>
            <w:left w:val="none" w:sz="0" w:space="0" w:color="auto"/>
            <w:bottom w:val="none" w:sz="0" w:space="0" w:color="auto"/>
            <w:right w:val="none" w:sz="0" w:space="0" w:color="auto"/>
          </w:divBdr>
          <w:divsChild>
            <w:div w:id="137392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286900">
      <w:bodyDiv w:val="1"/>
      <w:marLeft w:val="0"/>
      <w:marRight w:val="0"/>
      <w:marTop w:val="0"/>
      <w:marBottom w:val="0"/>
      <w:divBdr>
        <w:top w:val="none" w:sz="0" w:space="0" w:color="auto"/>
        <w:left w:val="none" w:sz="0" w:space="0" w:color="auto"/>
        <w:bottom w:val="none" w:sz="0" w:space="0" w:color="auto"/>
        <w:right w:val="none" w:sz="0" w:space="0" w:color="auto"/>
      </w:divBdr>
      <w:divsChild>
        <w:div w:id="363991310">
          <w:marLeft w:val="0"/>
          <w:marRight w:val="0"/>
          <w:marTop w:val="0"/>
          <w:marBottom w:val="0"/>
          <w:divBdr>
            <w:top w:val="none" w:sz="0" w:space="0" w:color="auto"/>
            <w:left w:val="none" w:sz="0" w:space="0" w:color="auto"/>
            <w:bottom w:val="none" w:sz="0" w:space="0" w:color="auto"/>
            <w:right w:val="none" w:sz="0" w:space="0" w:color="auto"/>
          </w:divBdr>
          <w:divsChild>
            <w:div w:id="164712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170278">
      <w:bodyDiv w:val="1"/>
      <w:marLeft w:val="0"/>
      <w:marRight w:val="0"/>
      <w:marTop w:val="0"/>
      <w:marBottom w:val="0"/>
      <w:divBdr>
        <w:top w:val="none" w:sz="0" w:space="0" w:color="auto"/>
        <w:left w:val="none" w:sz="0" w:space="0" w:color="auto"/>
        <w:bottom w:val="none" w:sz="0" w:space="0" w:color="auto"/>
        <w:right w:val="none" w:sz="0" w:space="0" w:color="auto"/>
      </w:divBdr>
    </w:div>
    <w:div w:id="1766220384">
      <w:bodyDiv w:val="1"/>
      <w:marLeft w:val="0"/>
      <w:marRight w:val="0"/>
      <w:marTop w:val="0"/>
      <w:marBottom w:val="0"/>
      <w:divBdr>
        <w:top w:val="none" w:sz="0" w:space="0" w:color="auto"/>
        <w:left w:val="none" w:sz="0" w:space="0" w:color="auto"/>
        <w:bottom w:val="none" w:sz="0" w:space="0" w:color="auto"/>
        <w:right w:val="none" w:sz="0" w:space="0" w:color="auto"/>
      </w:divBdr>
    </w:div>
    <w:div w:id="2080210261">
      <w:bodyDiv w:val="1"/>
      <w:marLeft w:val="0"/>
      <w:marRight w:val="0"/>
      <w:marTop w:val="0"/>
      <w:marBottom w:val="0"/>
      <w:divBdr>
        <w:top w:val="none" w:sz="0" w:space="0" w:color="auto"/>
        <w:left w:val="none" w:sz="0" w:space="0" w:color="auto"/>
        <w:bottom w:val="none" w:sz="0" w:space="0" w:color="auto"/>
        <w:right w:val="none" w:sz="0" w:space="0" w:color="auto"/>
      </w:divBdr>
    </w:div>
    <w:div w:id="2084642159">
      <w:bodyDiv w:val="1"/>
      <w:marLeft w:val="0"/>
      <w:marRight w:val="0"/>
      <w:marTop w:val="0"/>
      <w:marBottom w:val="0"/>
      <w:divBdr>
        <w:top w:val="none" w:sz="0" w:space="0" w:color="auto"/>
        <w:left w:val="none" w:sz="0" w:space="0" w:color="auto"/>
        <w:bottom w:val="none" w:sz="0" w:space="0" w:color="auto"/>
        <w:right w:val="none" w:sz="0" w:space="0" w:color="auto"/>
      </w:divBdr>
      <w:divsChild>
        <w:div w:id="676927226">
          <w:marLeft w:val="0"/>
          <w:marRight w:val="0"/>
          <w:marTop w:val="0"/>
          <w:marBottom w:val="0"/>
          <w:divBdr>
            <w:top w:val="none" w:sz="0" w:space="0" w:color="auto"/>
            <w:left w:val="none" w:sz="0" w:space="0" w:color="auto"/>
            <w:bottom w:val="none" w:sz="0" w:space="0" w:color="auto"/>
            <w:right w:val="none" w:sz="0" w:space="0" w:color="auto"/>
          </w:divBdr>
          <w:divsChild>
            <w:div w:id="152135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dlc.ibsedu.bg/lib/editor/tinymce/tiny_mce/3.3.9.2/plugins/paste/pasteword.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dlc.ibsedu.bg/lib/editor/tinymce/tiny_mce/3.3.9.2/plugins/paste/pasteword.ht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B19823-73EF-4B86-BDE0-EC5C2C2AC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2828</Words>
  <Characters>16120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Pesho</dc:creator>
  <cp:keywords/>
  <dc:description/>
  <cp:lastModifiedBy>Pesho</cp:lastModifiedBy>
  <cp:revision>2</cp:revision>
  <dcterms:created xsi:type="dcterms:W3CDTF">2015-09-18T16:43:00Z</dcterms:created>
  <dcterms:modified xsi:type="dcterms:W3CDTF">2015-09-18T16:43:00Z</dcterms:modified>
</cp:coreProperties>
</file>