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70523" w14:textId="7B8688A6" w:rsidR="004251D1" w:rsidRPr="00073E78" w:rsidRDefault="004251D1"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073E78">
        <w:rPr>
          <w:rFonts w:ascii="Times New Roman" w:hAnsi="Times New Roman" w:cs="Times New Roman"/>
          <w:b/>
          <w:bCs/>
          <w:sz w:val="28"/>
          <w:szCs w:val="28"/>
        </w:rPr>
        <w:t>Т</w:t>
      </w:r>
      <w:r w:rsidR="00FB3643">
        <w:rPr>
          <w:rFonts w:ascii="Times New Roman" w:hAnsi="Times New Roman" w:cs="Times New Roman"/>
          <w:b/>
          <w:bCs/>
          <w:sz w:val="28"/>
          <w:szCs w:val="28"/>
        </w:rPr>
        <w:t>ЕМА</w:t>
      </w:r>
      <w:r w:rsidRPr="00073E78">
        <w:rPr>
          <w:rFonts w:ascii="Times New Roman" w:hAnsi="Times New Roman" w:cs="Times New Roman"/>
          <w:b/>
          <w:bCs/>
          <w:sz w:val="28"/>
          <w:szCs w:val="28"/>
        </w:rPr>
        <w:t xml:space="preserve"> </w:t>
      </w:r>
      <w:r w:rsidR="002B693C" w:rsidRPr="00073E78">
        <w:rPr>
          <w:rFonts w:ascii="Times New Roman" w:hAnsi="Times New Roman" w:cs="Times New Roman"/>
          <w:b/>
          <w:bCs/>
          <w:sz w:val="28"/>
          <w:szCs w:val="28"/>
        </w:rPr>
        <w:t>9</w:t>
      </w:r>
      <w:r w:rsidRPr="00073E78">
        <w:rPr>
          <w:rFonts w:ascii="Times New Roman" w:hAnsi="Times New Roman" w:cs="Times New Roman"/>
          <w:b/>
          <w:bCs/>
          <w:sz w:val="28"/>
          <w:szCs w:val="28"/>
        </w:rPr>
        <w:t xml:space="preserve">: ДЪРЖАВНО РЕГУЛИРАНЕ И КОНТРОЛ ВЪРХУ ЦЕНИТЕ </w:t>
      </w:r>
    </w:p>
    <w:p w14:paraId="603BFDA8" w14:textId="77777777" w:rsidR="008C2901" w:rsidRPr="00073E78" w:rsidRDefault="008C2901"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1DEDD2A1" w14:textId="77777777" w:rsidR="00E26856" w:rsidRPr="004461F3" w:rsidRDefault="00E26856" w:rsidP="00E26856">
      <w:pPr>
        <w:spacing w:after="0" w:line="240" w:lineRule="auto"/>
        <w:ind w:firstLine="708"/>
        <w:jc w:val="both"/>
        <w:rPr>
          <w:rFonts w:ascii="Times New Roman" w:hAnsi="Times New Roman" w:cs="Times New Roman"/>
          <w:sz w:val="28"/>
          <w:szCs w:val="28"/>
        </w:rPr>
      </w:pPr>
      <w:r w:rsidRPr="00223EF0">
        <w:rPr>
          <w:rFonts w:ascii="Times New Roman" w:hAnsi="Times New Roman" w:cs="Times New Roman"/>
          <w:b/>
          <w:sz w:val="28"/>
          <w:szCs w:val="28"/>
        </w:rPr>
        <w:t>Целите при разработването на тази учебна тема са следните</w:t>
      </w:r>
      <w:r w:rsidRPr="004461F3">
        <w:rPr>
          <w:rFonts w:ascii="Times New Roman" w:hAnsi="Times New Roman" w:cs="Times New Roman"/>
          <w:sz w:val="28"/>
          <w:szCs w:val="28"/>
        </w:rPr>
        <w:t>:</w:t>
      </w:r>
    </w:p>
    <w:p w14:paraId="47B61B1E" w14:textId="51C01CAD" w:rsidR="00E26856" w:rsidRDefault="00E26856" w:rsidP="00B91F72">
      <w:pPr>
        <w:pStyle w:val="ListParagraph"/>
        <w:numPr>
          <w:ilvl w:val="0"/>
          <w:numId w:val="31"/>
        </w:numPr>
        <w:spacing w:after="0" w:line="240" w:lineRule="auto"/>
        <w:jc w:val="both"/>
        <w:rPr>
          <w:rFonts w:ascii="Times New Roman" w:hAnsi="Times New Roman" w:cs="Times New Roman"/>
          <w:sz w:val="28"/>
          <w:szCs w:val="28"/>
        </w:rPr>
      </w:pPr>
      <w:r w:rsidRPr="00F81FCA">
        <w:rPr>
          <w:rFonts w:ascii="Times New Roman" w:hAnsi="Times New Roman" w:cs="Times New Roman"/>
          <w:sz w:val="28"/>
          <w:szCs w:val="28"/>
        </w:rPr>
        <w:t xml:space="preserve">Определяне </w:t>
      </w:r>
      <w:r>
        <w:rPr>
          <w:rFonts w:ascii="Times New Roman" w:hAnsi="Times New Roman" w:cs="Times New Roman"/>
          <w:sz w:val="28"/>
          <w:szCs w:val="28"/>
        </w:rPr>
        <w:t>з</w:t>
      </w:r>
      <w:r w:rsidRPr="004251D1">
        <w:rPr>
          <w:rFonts w:ascii="Times New Roman" w:hAnsi="Times New Roman" w:cs="Times New Roman"/>
          <w:bCs/>
          <w:sz w:val="28"/>
          <w:szCs w:val="28"/>
        </w:rPr>
        <w:t>ащо държавата се намесва в процеса на пазарното формиране на равнищата и съотношенията на цените</w:t>
      </w:r>
      <w:r w:rsidRPr="00F81FCA">
        <w:rPr>
          <w:rFonts w:ascii="Times New Roman" w:hAnsi="Times New Roman" w:cs="Times New Roman"/>
          <w:sz w:val="28"/>
          <w:szCs w:val="28"/>
        </w:rPr>
        <w:t>.</w:t>
      </w:r>
    </w:p>
    <w:p w14:paraId="4D65E1B8" w14:textId="4AE9D41D" w:rsidR="00E26856" w:rsidRPr="00E26856" w:rsidRDefault="00E26856" w:rsidP="00B91F72">
      <w:pPr>
        <w:pStyle w:val="ListParagraph"/>
        <w:numPr>
          <w:ilvl w:val="0"/>
          <w:numId w:val="31"/>
        </w:numPr>
        <w:autoSpaceDE w:val="0"/>
        <w:autoSpaceDN w:val="0"/>
        <w:adjustRightInd w:val="0"/>
        <w:spacing w:after="0" w:line="240" w:lineRule="auto"/>
        <w:jc w:val="both"/>
        <w:rPr>
          <w:rFonts w:ascii="Times New Roman" w:hAnsi="Times New Roman" w:cs="Times New Roman"/>
          <w:sz w:val="28"/>
          <w:szCs w:val="28"/>
        </w:rPr>
      </w:pPr>
      <w:r w:rsidRPr="00E26856">
        <w:rPr>
          <w:rFonts w:ascii="Times New Roman" w:hAnsi="Times New Roman" w:cs="Times New Roman"/>
          <w:bCs/>
          <w:iCs/>
          <w:sz w:val="28"/>
          <w:szCs w:val="28"/>
        </w:rPr>
        <w:t xml:space="preserve">Формулиране  на </w:t>
      </w:r>
      <w:r w:rsidRPr="004251D1">
        <w:rPr>
          <w:rFonts w:ascii="Times New Roman" w:hAnsi="Times New Roman" w:cs="Times New Roman"/>
          <w:bCs/>
          <w:sz w:val="28"/>
          <w:szCs w:val="28"/>
        </w:rPr>
        <w:t>основните средства за пряко и за косвено държавно регулиране на цените</w:t>
      </w:r>
      <w:r w:rsidRPr="00E26856">
        <w:rPr>
          <w:rFonts w:ascii="Times New Roman" w:hAnsi="Times New Roman" w:cs="Times New Roman"/>
          <w:bCs/>
          <w:sz w:val="28"/>
          <w:szCs w:val="28"/>
        </w:rPr>
        <w:t>.</w:t>
      </w:r>
    </w:p>
    <w:p w14:paraId="58912E54" w14:textId="77777777" w:rsidR="00E26856" w:rsidRPr="00AE3B9D" w:rsidRDefault="00E26856" w:rsidP="00E26856">
      <w:pPr>
        <w:pStyle w:val="ListParagraph"/>
        <w:autoSpaceDE w:val="0"/>
        <w:autoSpaceDN w:val="0"/>
        <w:adjustRightInd w:val="0"/>
        <w:spacing w:after="0" w:line="240" w:lineRule="auto"/>
        <w:ind w:left="1068"/>
        <w:jc w:val="both"/>
        <w:rPr>
          <w:rFonts w:ascii="Times New Roman" w:hAnsi="Times New Roman" w:cs="Times New Roman"/>
          <w:sz w:val="28"/>
          <w:szCs w:val="28"/>
        </w:rPr>
      </w:pPr>
    </w:p>
    <w:p w14:paraId="54AB283A" w14:textId="77777777" w:rsidR="00E26856" w:rsidRPr="00B91E24" w:rsidRDefault="00E26856" w:rsidP="00E2685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w:t>
      </w:r>
      <w:r w:rsidRPr="004B1517">
        <w:rPr>
          <w:rFonts w:ascii="Times New Roman" w:hAnsi="Times New Roman" w:cs="Times New Roman"/>
          <w:b/>
          <w:sz w:val="28"/>
          <w:szCs w:val="28"/>
        </w:rPr>
        <w:t>Съдържание на темата</w:t>
      </w:r>
      <w:r w:rsidRPr="004B1517">
        <w:rPr>
          <w:rFonts w:ascii="Times New Roman" w:hAnsi="Times New Roman" w:cs="Times New Roman"/>
          <w:sz w:val="28"/>
          <w:szCs w:val="28"/>
        </w:rPr>
        <w:t>:</w:t>
      </w:r>
      <w:r w:rsidRPr="00B91E24">
        <w:rPr>
          <w:rFonts w:ascii="Times New Roman" w:hAnsi="Times New Roman" w:cs="Times New Roman"/>
          <w:sz w:val="28"/>
          <w:szCs w:val="28"/>
        </w:rPr>
        <w:t xml:space="preserve"> </w:t>
      </w:r>
    </w:p>
    <w:p w14:paraId="0859CB90" w14:textId="02D94AE0" w:rsidR="00E26856" w:rsidRPr="00E26856" w:rsidRDefault="00E26856" w:rsidP="00541AD1">
      <w:pPr>
        <w:pStyle w:val="ListParagraph"/>
        <w:numPr>
          <w:ilvl w:val="0"/>
          <w:numId w:val="67"/>
        </w:numPr>
        <w:autoSpaceDE w:val="0"/>
        <w:autoSpaceDN w:val="0"/>
        <w:adjustRightInd w:val="0"/>
        <w:spacing w:after="0" w:line="240" w:lineRule="auto"/>
        <w:jc w:val="both"/>
        <w:rPr>
          <w:rFonts w:ascii="Times New Roman" w:hAnsi="Times New Roman" w:cs="Times New Roman"/>
          <w:bCs/>
          <w:sz w:val="28"/>
          <w:szCs w:val="28"/>
        </w:rPr>
      </w:pPr>
      <w:r w:rsidRPr="00E26856">
        <w:rPr>
          <w:rFonts w:ascii="Times New Roman" w:hAnsi="Times New Roman" w:cs="Times New Roman"/>
          <w:bCs/>
          <w:sz w:val="28"/>
          <w:szCs w:val="28"/>
        </w:rPr>
        <w:t>Необходимост от държавно регулиране и контрол върху цените</w:t>
      </w:r>
    </w:p>
    <w:p w14:paraId="66F0E872" w14:textId="64D7BE8E" w:rsidR="00E26856" w:rsidRPr="00806565" w:rsidRDefault="00806565" w:rsidP="00541AD1">
      <w:pPr>
        <w:pStyle w:val="ListParagraph"/>
        <w:numPr>
          <w:ilvl w:val="0"/>
          <w:numId w:val="67"/>
        </w:numPr>
        <w:autoSpaceDE w:val="0"/>
        <w:autoSpaceDN w:val="0"/>
        <w:adjustRightInd w:val="0"/>
        <w:spacing w:after="0" w:line="240" w:lineRule="auto"/>
        <w:jc w:val="both"/>
        <w:rPr>
          <w:rFonts w:ascii="Times New Roman" w:hAnsi="Times New Roman" w:cs="Times New Roman"/>
          <w:bCs/>
          <w:sz w:val="28"/>
          <w:szCs w:val="28"/>
        </w:rPr>
      </w:pPr>
      <w:r w:rsidRPr="00806565">
        <w:rPr>
          <w:rFonts w:ascii="Times New Roman" w:hAnsi="Times New Roman" w:cs="Times New Roman"/>
          <w:bCs/>
          <w:sz w:val="28"/>
          <w:szCs w:val="28"/>
        </w:rPr>
        <w:t xml:space="preserve">Преки методи и форми на регулиране на цените  </w:t>
      </w:r>
    </w:p>
    <w:p w14:paraId="6A82EDF7" w14:textId="77777777" w:rsidR="00806565" w:rsidRPr="00806565" w:rsidRDefault="00806565" w:rsidP="00541AD1">
      <w:pPr>
        <w:pStyle w:val="ListParagraph"/>
        <w:numPr>
          <w:ilvl w:val="0"/>
          <w:numId w:val="67"/>
        </w:numPr>
        <w:autoSpaceDE w:val="0"/>
        <w:autoSpaceDN w:val="0"/>
        <w:adjustRightInd w:val="0"/>
        <w:spacing w:after="0" w:line="240" w:lineRule="auto"/>
        <w:jc w:val="both"/>
        <w:rPr>
          <w:rFonts w:ascii="Times New Roman" w:hAnsi="Times New Roman" w:cs="Times New Roman"/>
          <w:bCs/>
          <w:sz w:val="28"/>
          <w:szCs w:val="28"/>
        </w:rPr>
      </w:pPr>
      <w:r w:rsidRPr="00806565">
        <w:rPr>
          <w:rFonts w:ascii="Times New Roman" w:hAnsi="Times New Roman" w:cs="Times New Roman"/>
          <w:bCs/>
          <w:sz w:val="28"/>
          <w:szCs w:val="28"/>
        </w:rPr>
        <w:t xml:space="preserve">Косвени методи и форми на регулиране на цените </w:t>
      </w:r>
    </w:p>
    <w:p w14:paraId="52484C8B" w14:textId="718ABC26" w:rsidR="00806565" w:rsidRPr="00806565" w:rsidRDefault="00806565" w:rsidP="00541AD1">
      <w:pPr>
        <w:pStyle w:val="ListParagraph"/>
        <w:numPr>
          <w:ilvl w:val="0"/>
          <w:numId w:val="67"/>
        </w:numPr>
        <w:autoSpaceDE w:val="0"/>
        <w:autoSpaceDN w:val="0"/>
        <w:adjustRightInd w:val="0"/>
        <w:spacing w:after="0" w:line="240" w:lineRule="auto"/>
        <w:jc w:val="both"/>
        <w:rPr>
          <w:rFonts w:ascii="Times New Roman" w:hAnsi="Times New Roman" w:cs="Times New Roman"/>
          <w:bCs/>
          <w:sz w:val="28"/>
          <w:szCs w:val="28"/>
        </w:rPr>
      </w:pPr>
      <w:r w:rsidRPr="00806565">
        <w:rPr>
          <w:rFonts w:ascii="Times New Roman" w:hAnsi="Times New Roman" w:cs="Times New Roman"/>
          <w:bCs/>
          <w:sz w:val="28"/>
          <w:szCs w:val="28"/>
        </w:rPr>
        <w:t>Държавен контрол върху цените и ценообразуването</w:t>
      </w:r>
    </w:p>
    <w:p w14:paraId="1680479F" w14:textId="3AAD49A9" w:rsidR="00806565" w:rsidRPr="00806565" w:rsidRDefault="00806565" w:rsidP="00806565">
      <w:pPr>
        <w:pStyle w:val="ListParagraph"/>
        <w:autoSpaceDE w:val="0"/>
        <w:autoSpaceDN w:val="0"/>
        <w:adjustRightInd w:val="0"/>
        <w:spacing w:after="0" w:line="240" w:lineRule="auto"/>
        <w:ind w:left="1068"/>
        <w:jc w:val="both"/>
        <w:rPr>
          <w:rFonts w:ascii="Times New Roman" w:hAnsi="Times New Roman" w:cs="Times New Roman"/>
          <w:b/>
          <w:bCs/>
          <w:sz w:val="28"/>
          <w:szCs w:val="28"/>
        </w:rPr>
      </w:pPr>
      <w:r w:rsidRPr="00806565">
        <w:rPr>
          <w:rFonts w:ascii="Times New Roman" w:hAnsi="Times New Roman" w:cs="Times New Roman"/>
          <w:b/>
          <w:bCs/>
          <w:sz w:val="28"/>
          <w:szCs w:val="28"/>
        </w:rPr>
        <w:t xml:space="preserve"> </w:t>
      </w:r>
    </w:p>
    <w:p w14:paraId="16C3E8E5" w14:textId="3D4C9C3A" w:rsidR="00E26856" w:rsidRPr="00D002EF" w:rsidRDefault="00D002EF" w:rsidP="00D002EF">
      <w:pPr>
        <w:autoSpaceDE w:val="0"/>
        <w:autoSpaceDN w:val="0"/>
        <w:adjustRightInd w:val="0"/>
        <w:spacing w:after="0" w:line="240" w:lineRule="auto"/>
        <w:ind w:left="708"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9.1. </w:t>
      </w:r>
      <w:r w:rsidR="00E26856" w:rsidRPr="00D002EF">
        <w:rPr>
          <w:rFonts w:ascii="Times New Roman" w:hAnsi="Times New Roman" w:cs="Times New Roman"/>
          <w:b/>
          <w:bCs/>
          <w:sz w:val="28"/>
          <w:szCs w:val="28"/>
        </w:rPr>
        <w:t>Необходимост от държавно регулиране и контрол върху цените</w:t>
      </w:r>
    </w:p>
    <w:p w14:paraId="01D24952" w14:textId="77777777" w:rsidR="00E26856" w:rsidRPr="00E26856" w:rsidRDefault="00E26856" w:rsidP="00E26856">
      <w:pPr>
        <w:pStyle w:val="ListParagraph"/>
        <w:autoSpaceDE w:val="0"/>
        <w:autoSpaceDN w:val="0"/>
        <w:adjustRightInd w:val="0"/>
        <w:spacing w:after="0" w:line="240" w:lineRule="auto"/>
        <w:ind w:left="1143"/>
        <w:jc w:val="both"/>
        <w:rPr>
          <w:rFonts w:ascii="Times New Roman" w:hAnsi="Times New Roman" w:cs="Times New Roman"/>
          <w:bCs/>
          <w:sz w:val="28"/>
          <w:szCs w:val="28"/>
        </w:rPr>
      </w:pPr>
    </w:p>
    <w:p w14:paraId="00D997C5" w14:textId="67327BF6"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Държавното регулиране </w:t>
      </w:r>
      <w:r w:rsidR="00073E78">
        <w:rPr>
          <w:rFonts w:ascii="Times New Roman" w:hAnsi="Times New Roman" w:cs="Times New Roman"/>
          <w:bCs/>
          <w:sz w:val="28"/>
          <w:szCs w:val="28"/>
        </w:rPr>
        <w:t>с</w:t>
      </w:r>
      <w:r w:rsidRPr="004251D1">
        <w:rPr>
          <w:rFonts w:ascii="Times New Roman" w:hAnsi="Times New Roman" w:cs="Times New Roman"/>
          <w:bCs/>
          <w:sz w:val="28"/>
          <w:szCs w:val="28"/>
        </w:rPr>
        <w:t>е</w:t>
      </w:r>
      <w:r w:rsidR="00073E78">
        <w:rPr>
          <w:rFonts w:ascii="Times New Roman" w:hAnsi="Times New Roman" w:cs="Times New Roman"/>
          <w:bCs/>
          <w:sz w:val="28"/>
          <w:szCs w:val="28"/>
        </w:rPr>
        <w:t xml:space="preserve"> прилага от редица правителства, независимо от това доколко тяхната икономика е развита. То е</w:t>
      </w:r>
      <w:r w:rsidRPr="004251D1">
        <w:rPr>
          <w:rFonts w:ascii="Times New Roman" w:hAnsi="Times New Roman" w:cs="Times New Roman"/>
          <w:bCs/>
          <w:sz w:val="28"/>
          <w:szCs w:val="28"/>
        </w:rPr>
        <w:t xml:space="preserve"> необходимо средство за запазване и за развитие на пазарната икономика. Един от основните му елементи е регулирането на цените, защото анархията в пазарното ценообразуване струва скъпо на обществото. Държавата провежда определена целенасочена политика за овладяване на резките разрушителни за пазара ценови колебания. </w:t>
      </w:r>
    </w:p>
    <w:p w14:paraId="4942DCF5" w14:textId="77777777" w:rsidR="00A66EEF" w:rsidRDefault="004251D1" w:rsidP="00291947">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Държавата чрез своите упълномощени органи определя сама, участва при определянето и контролира цените на някои най-важни за икономиката и населението стоки, когато поради естествени причини, монопол или стоков недостиг не могат да се уравновесят самостоятелно. При крайно неблагоприятна </w:t>
      </w:r>
      <w:proofErr w:type="spellStart"/>
      <w:r w:rsidRPr="004251D1">
        <w:rPr>
          <w:rFonts w:ascii="Times New Roman" w:hAnsi="Times New Roman" w:cs="Times New Roman"/>
          <w:bCs/>
          <w:sz w:val="28"/>
          <w:szCs w:val="28"/>
        </w:rPr>
        <w:t>вътрешнопазарна</w:t>
      </w:r>
      <w:proofErr w:type="spellEnd"/>
      <w:r w:rsidRPr="004251D1">
        <w:rPr>
          <w:rFonts w:ascii="Times New Roman" w:hAnsi="Times New Roman" w:cs="Times New Roman"/>
          <w:bCs/>
          <w:sz w:val="28"/>
          <w:szCs w:val="28"/>
        </w:rPr>
        <w:t xml:space="preserve"> и социална обстановка регулирането на цените от държавата може да доведе до временното им замразяване. </w:t>
      </w:r>
    </w:p>
    <w:p w14:paraId="36A023DA" w14:textId="25238E01" w:rsidR="004251D1" w:rsidRPr="004251D1" w:rsidRDefault="004251D1" w:rsidP="00A66EEF">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Необходимостта от държавно регулиране на стопанската дейност и в частност на цените се обуславя от няколко причини: </w:t>
      </w:r>
    </w:p>
    <w:p w14:paraId="388C4062" w14:textId="06404A8F" w:rsidR="004251D1" w:rsidRPr="002557F1" w:rsidRDefault="004251D1" w:rsidP="00541AD1">
      <w:pPr>
        <w:pStyle w:val="ListParagraph"/>
        <w:numPr>
          <w:ilvl w:val="0"/>
          <w:numId w:val="68"/>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монополизирането на отделни стокови пазари. Възникването на монополни структури блокира благотворното влияние на конкуренцията за развитието на производството. Държавното регулиране на цените е най-силно разпространено в отрасли, където влиянието на монополите върху цените е най-голямо или където интересите на националните монополи в най-малка степен противоречат един на друг. То често се проявява и там, където </w:t>
      </w:r>
      <w:r w:rsidR="00073E78" w:rsidRPr="002557F1">
        <w:rPr>
          <w:rFonts w:ascii="Times New Roman" w:hAnsi="Times New Roman" w:cs="Times New Roman"/>
          <w:bCs/>
          <w:sz w:val="28"/>
          <w:szCs w:val="28"/>
        </w:rPr>
        <w:t>предприятията</w:t>
      </w:r>
      <w:r w:rsidRPr="002557F1">
        <w:rPr>
          <w:rFonts w:ascii="Times New Roman" w:hAnsi="Times New Roman" w:cs="Times New Roman"/>
          <w:bCs/>
          <w:sz w:val="28"/>
          <w:szCs w:val="28"/>
        </w:rPr>
        <w:t xml:space="preserve"> работят с държавна собственост; </w:t>
      </w:r>
    </w:p>
    <w:p w14:paraId="778EBAE7"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39A51ED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Пример: Европейската комисия наложи глоба в размер на 151,9 млн. евро на испанския монополист на пазара на телекомуникационни услуги </w:t>
      </w:r>
      <w:proofErr w:type="spellStart"/>
      <w:r w:rsidRPr="004251D1">
        <w:rPr>
          <w:rFonts w:ascii="Times New Roman" w:hAnsi="Times New Roman" w:cs="Times New Roman"/>
          <w:bCs/>
          <w:sz w:val="28"/>
          <w:szCs w:val="28"/>
        </w:rPr>
        <w:t>Telefonica</w:t>
      </w:r>
      <w:proofErr w:type="spellEnd"/>
      <w:r w:rsidRPr="004251D1">
        <w:rPr>
          <w:rFonts w:ascii="Times New Roman" w:hAnsi="Times New Roman" w:cs="Times New Roman"/>
          <w:bCs/>
          <w:sz w:val="28"/>
          <w:szCs w:val="28"/>
        </w:rPr>
        <w:t xml:space="preserve"> SA. Според Комисията испанската компания е лишавала потребителите и бизнеса от избор на доставчици на </w:t>
      </w:r>
      <w:proofErr w:type="spellStart"/>
      <w:r w:rsidRPr="004251D1">
        <w:rPr>
          <w:rFonts w:ascii="Times New Roman" w:hAnsi="Times New Roman" w:cs="Times New Roman"/>
          <w:bCs/>
          <w:sz w:val="28"/>
          <w:szCs w:val="28"/>
        </w:rPr>
        <w:t>широколентен</w:t>
      </w:r>
      <w:proofErr w:type="spellEnd"/>
      <w:r w:rsidRPr="004251D1">
        <w:rPr>
          <w:rFonts w:ascii="Times New Roman" w:hAnsi="Times New Roman" w:cs="Times New Roman"/>
          <w:bCs/>
          <w:sz w:val="28"/>
          <w:szCs w:val="28"/>
        </w:rPr>
        <w:t xml:space="preserve"> интернет и е извършила "много сериозни злоупотреби с господстващите си позиции на испанския пазар" на този вид услуга.  </w:t>
      </w:r>
    </w:p>
    <w:p w14:paraId="0DA5AB79" w14:textId="1AA813BD"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През периода от 2001 до 2006 г. </w:t>
      </w:r>
      <w:proofErr w:type="spellStart"/>
      <w:r w:rsidRPr="004251D1">
        <w:rPr>
          <w:rFonts w:ascii="Times New Roman" w:hAnsi="Times New Roman" w:cs="Times New Roman"/>
          <w:bCs/>
          <w:sz w:val="28"/>
          <w:szCs w:val="28"/>
        </w:rPr>
        <w:t>Telefonica</w:t>
      </w:r>
      <w:proofErr w:type="spellEnd"/>
      <w:r w:rsidRPr="004251D1">
        <w:rPr>
          <w:rFonts w:ascii="Times New Roman" w:hAnsi="Times New Roman" w:cs="Times New Roman"/>
          <w:bCs/>
          <w:sz w:val="28"/>
          <w:szCs w:val="28"/>
        </w:rPr>
        <w:t xml:space="preserve"> е поддържала цените на равнище, което е възпирало развитието на сектора в Испания, се отбелязва в съобщението. В резултат на това потребителите в тази страна са ползвали интернет по-малко, но са плащали повече от жителите на държавите от Западна Европа. </w:t>
      </w:r>
      <w:proofErr w:type="spellStart"/>
      <w:r w:rsidRPr="004251D1">
        <w:rPr>
          <w:rFonts w:ascii="Times New Roman" w:hAnsi="Times New Roman" w:cs="Times New Roman"/>
          <w:bCs/>
          <w:sz w:val="28"/>
          <w:szCs w:val="28"/>
        </w:rPr>
        <w:t>Telefonica</w:t>
      </w:r>
      <w:proofErr w:type="spellEnd"/>
      <w:r w:rsidRPr="004251D1">
        <w:rPr>
          <w:rFonts w:ascii="Times New Roman" w:hAnsi="Times New Roman" w:cs="Times New Roman"/>
          <w:bCs/>
          <w:sz w:val="28"/>
          <w:szCs w:val="28"/>
        </w:rPr>
        <w:t xml:space="preserve"> е създадена през 1924 г. и в момента заема водещи позиции в Европа, Африка и Латинска Америка. През март 2007 година броят на клиентите й достигна 206,6 млн. души</w:t>
      </w:r>
      <w:r w:rsidR="00073E78">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27B0055E"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26CABAC5" w14:textId="51995440" w:rsidR="004251D1" w:rsidRPr="002557F1" w:rsidRDefault="004251D1" w:rsidP="00541AD1">
      <w:pPr>
        <w:pStyle w:val="ListParagraph"/>
        <w:numPr>
          <w:ilvl w:val="0"/>
          <w:numId w:val="68"/>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инфлацията. Борбата на държавата с инфлацията обикновено се провъзгласява като причина за въвеждане на регулиране на цените и контрол върху тях. </w:t>
      </w:r>
      <w:proofErr w:type="spellStart"/>
      <w:r w:rsidRPr="002557F1">
        <w:rPr>
          <w:rFonts w:ascii="Times New Roman" w:hAnsi="Times New Roman" w:cs="Times New Roman"/>
          <w:bCs/>
          <w:sz w:val="28"/>
          <w:szCs w:val="28"/>
        </w:rPr>
        <w:t>Антиинфлационното</w:t>
      </w:r>
      <w:proofErr w:type="spellEnd"/>
      <w:r w:rsidRPr="002557F1">
        <w:rPr>
          <w:rFonts w:ascii="Times New Roman" w:hAnsi="Times New Roman" w:cs="Times New Roman"/>
          <w:bCs/>
          <w:sz w:val="28"/>
          <w:szCs w:val="28"/>
        </w:rPr>
        <w:t xml:space="preserve"> регулиране на цените се осъществява в рамките на политиката на доходите, стимулирането на икономическия растеж и натрупването на капитала. Приема се, че основен източник на инфлация е нарастването на разходите за работна заплата в единица продукция; </w:t>
      </w:r>
    </w:p>
    <w:p w14:paraId="286F8798" w14:textId="0E92D6BD" w:rsidR="004251D1" w:rsidRPr="002557F1" w:rsidRDefault="004251D1" w:rsidP="00541AD1">
      <w:pPr>
        <w:pStyle w:val="ListParagraph"/>
        <w:numPr>
          <w:ilvl w:val="0"/>
          <w:numId w:val="68"/>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осигуряване на социално слабите слоеве от населението. Държавното регулиране на стопанската дейност трябва да държи сметка за критичната маса на социално неравенство. Непосилната социална цена може да породи недоволство, което да расте лавинообразно. Държавната политика обаче не се изчерпва с предоставяне на социални помощи за безработните. Политиката на доходите е ефективна само до определен праг на инфлацията. Хиперинфлацията разрушава ценовия хоризонт и подкопава финансовите възможности преди всичко на дребния и на средния бизнес и ги изхвърля на пазара на работната сила; </w:t>
      </w:r>
    </w:p>
    <w:p w14:paraId="0F7BD4A0" w14:textId="02A17AC0" w:rsidR="004251D1" w:rsidRPr="002557F1" w:rsidRDefault="004251D1" w:rsidP="00541AD1">
      <w:pPr>
        <w:pStyle w:val="ListParagraph"/>
        <w:numPr>
          <w:ilvl w:val="0"/>
          <w:numId w:val="68"/>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техническото усъвършенстване на производството. Определените тавани на цените карат</w:t>
      </w:r>
      <w:r w:rsidR="002557F1" w:rsidRPr="002557F1">
        <w:rPr>
          <w:rFonts w:ascii="Times New Roman" w:hAnsi="Times New Roman" w:cs="Times New Roman"/>
          <w:bCs/>
          <w:sz w:val="28"/>
          <w:szCs w:val="28"/>
        </w:rPr>
        <w:t xml:space="preserve"> предприятията</w:t>
      </w:r>
      <w:r w:rsidRPr="002557F1">
        <w:rPr>
          <w:rFonts w:ascii="Times New Roman" w:hAnsi="Times New Roman" w:cs="Times New Roman"/>
          <w:bCs/>
          <w:sz w:val="28"/>
          <w:szCs w:val="28"/>
        </w:rPr>
        <w:t xml:space="preserve"> да повишават печалбата си чрез разкриване на вътрешни резерви и чрез снижаване на себестойността. Освобождаването от контрол на цените на нови отрасли стимулира тяхното развитие; </w:t>
      </w:r>
    </w:p>
    <w:p w14:paraId="1C98B9FF" w14:textId="07EEBD25" w:rsidR="004251D1" w:rsidRPr="002557F1" w:rsidRDefault="004251D1" w:rsidP="00541AD1">
      <w:pPr>
        <w:pStyle w:val="ListParagraph"/>
        <w:numPr>
          <w:ilvl w:val="0"/>
          <w:numId w:val="68"/>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ограничаване и спиране на неекологичните производства. Чрез механизма на ценообразуването държавата може да санкционира производства, които замърсяват околната среда, и да стимулира стопанската дейност, съобразена с екологичните изисквания. </w:t>
      </w:r>
    </w:p>
    <w:p w14:paraId="2A24242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Съвременните системи за държавно регулиране и за контрол върху цените се отличават със следните особености: </w:t>
      </w:r>
    </w:p>
    <w:p w14:paraId="478B048B" w14:textId="0923E44E" w:rsidR="004251D1" w:rsidRPr="002557F1" w:rsidRDefault="004251D1" w:rsidP="00541AD1">
      <w:pPr>
        <w:pStyle w:val="ListParagraph"/>
        <w:numPr>
          <w:ilvl w:val="0"/>
          <w:numId w:val="69"/>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lastRenderedPageBreak/>
        <w:t xml:space="preserve">прозрачност. Регулирането на цените трябва да се основава върху стабилна нормативна база. </w:t>
      </w:r>
      <w:r w:rsidRPr="002557F1">
        <w:rPr>
          <w:rFonts w:ascii="Times New Roman" w:hAnsi="Times New Roman" w:cs="Times New Roman"/>
          <w:b/>
          <w:bCs/>
          <w:sz w:val="28"/>
          <w:szCs w:val="28"/>
        </w:rPr>
        <w:t>В България е приет Закон за цените, правилник за неговото приложение, наредби за ценообразуване</w:t>
      </w:r>
      <w:r w:rsidRPr="002557F1">
        <w:rPr>
          <w:rFonts w:ascii="Times New Roman" w:hAnsi="Times New Roman" w:cs="Times New Roman"/>
          <w:bCs/>
          <w:sz w:val="28"/>
          <w:szCs w:val="28"/>
        </w:rPr>
        <w:t xml:space="preserve">. По такъв начин се елиминират възможностите за чести промени в регулираните цени. Внезапните изменения на цените могат да имат сериозен финансов ефект върху предприемачите и техните инвестиции; </w:t>
      </w:r>
    </w:p>
    <w:p w14:paraId="3B3A1A52" w14:textId="40FA3544" w:rsidR="004251D1" w:rsidRPr="002557F1" w:rsidRDefault="004251D1" w:rsidP="00541AD1">
      <w:pPr>
        <w:pStyle w:val="ListParagraph"/>
        <w:numPr>
          <w:ilvl w:val="0"/>
          <w:numId w:val="69"/>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пряко и косвено регулиране на цените. Целта е да се постигне настройване на системата на цените чрез ограничено използване на фиксирани и на пределни цени само за стоки и услуги със стратегическо значение за икономиката и за жизненото равнище на населението; </w:t>
      </w:r>
    </w:p>
    <w:p w14:paraId="3F107CC1" w14:textId="59DA4822" w:rsidR="004251D1" w:rsidRPr="002557F1" w:rsidRDefault="004251D1" w:rsidP="00541AD1">
      <w:pPr>
        <w:pStyle w:val="ListParagraph"/>
        <w:numPr>
          <w:ilvl w:val="0"/>
          <w:numId w:val="69"/>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последователност и гъвкавост. Държавата регулира цените на факторите за производство и цените на междинната и на крайната продукция. Формите на регулиране на цените въздействат от тиловите ешелони на производството до надценките за търговска дейност. Регулирането съчетава както постоянни, така и временни ограничителни мерки, когато възникват деформации и чувствително отклонение от равновесните пазарни цени; </w:t>
      </w:r>
    </w:p>
    <w:p w14:paraId="768EBE18" w14:textId="5C4CAE1C" w:rsidR="004251D1" w:rsidRPr="002557F1" w:rsidRDefault="004251D1" w:rsidP="00541AD1">
      <w:pPr>
        <w:pStyle w:val="ListParagraph"/>
        <w:numPr>
          <w:ilvl w:val="0"/>
          <w:numId w:val="69"/>
        </w:numPr>
        <w:autoSpaceDE w:val="0"/>
        <w:autoSpaceDN w:val="0"/>
        <w:adjustRightInd w:val="0"/>
        <w:spacing w:after="0" w:line="240" w:lineRule="auto"/>
        <w:jc w:val="both"/>
        <w:rPr>
          <w:rFonts w:ascii="Times New Roman" w:hAnsi="Times New Roman" w:cs="Times New Roman"/>
          <w:bCs/>
          <w:sz w:val="28"/>
          <w:szCs w:val="28"/>
        </w:rPr>
      </w:pPr>
      <w:r w:rsidRPr="002557F1">
        <w:rPr>
          <w:rFonts w:ascii="Times New Roman" w:hAnsi="Times New Roman" w:cs="Times New Roman"/>
          <w:bCs/>
          <w:sz w:val="28"/>
          <w:szCs w:val="28"/>
        </w:rPr>
        <w:t xml:space="preserve">санкциониране на нарушенията на нормите за ценообразуване, предписани от държавата. </w:t>
      </w:r>
    </w:p>
    <w:p w14:paraId="5D1F919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F20EC81" w14:textId="1F49EC69" w:rsidR="004251D1"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9.2. </w:t>
      </w:r>
      <w:r w:rsidR="004251D1" w:rsidRPr="00D002EF">
        <w:rPr>
          <w:rFonts w:ascii="Times New Roman" w:hAnsi="Times New Roman" w:cs="Times New Roman"/>
          <w:b/>
          <w:bCs/>
          <w:sz w:val="28"/>
          <w:szCs w:val="28"/>
        </w:rPr>
        <w:t xml:space="preserve">Преки методи и форми на регулиране на цените </w:t>
      </w:r>
    </w:p>
    <w:p w14:paraId="4D1DCF8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752C50F6" w14:textId="77777777" w:rsidR="002557F1" w:rsidRDefault="002557F1"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По-важните от тях са следните.</w:t>
      </w:r>
    </w:p>
    <w:p w14:paraId="0BAE5C03" w14:textId="1CD2A7C6"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2557F1">
        <w:rPr>
          <w:rFonts w:ascii="Times New Roman" w:hAnsi="Times New Roman" w:cs="Times New Roman"/>
          <w:b/>
          <w:bCs/>
          <w:sz w:val="28"/>
          <w:szCs w:val="28"/>
        </w:rPr>
        <w:t>Фиксирани цени</w:t>
      </w:r>
      <w:r w:rsidR="00813492">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Министерския съвет </w:t>
      </w:r>
      <w:r w:rsidR="00813492">
        <w:rPr>
          <w:rFonts w:ascii="Times New Roman" w:hAnsi="Times New Roman" w:cs="Times New Roman"/>
          <w:bCs/>
          <w:sz w:val="28"/>
          <w:szCs w:val="28"/>
        </w:rPr>
        <w:t xml:space="preserve">в България  ги определя </w:t>
      </w:r>
      <w:r w:rsidRPr="004251D1">
        <w:rPr>
          <w:rFonts w:ascii="Times New Roman" w:hAnsi="Times New Roman" w:cs="Times New Roman"/>
          <w:bCs/>
          <w:sz w:val="28"/>
          <w:szCs w:val="28"/>
        </w:rPr>
        <w:t xml:space="preserve">и </w:t>
      </w:r>
      <w:r w:rsidR="00813492">
        <w:rPr>
          <w:rFonts w:ascii="Times New Roman" w:hAnsi="Times New Roman" w:cs="Times New Roman"/>
          <w:bCs/>
          <w:sz w:val="28"/>
          <w:szCs w:val="28"/>
        </w:rPr>
        <w:t xml:space="preserve">те </w:t>
      </w:r>
      <w:r w:rsidRPr="004251D1">
        <w:rPr>
          <w:rFonts w:ascii="Times New Roman" w:hAnsi="Times New Roman" w:cs="Times New Roman"/>
          <w:bCs/>
          <w:sz w:val="28"/>
          <w:szCs w:val="28"/>
        </w:rPr>
        <w:t xml:space="preserve">са задължителни. Конкретните продажни цени не могат да се отклоняват от тях. Фиксирани цени се определят за електроенергията, топлоенергията, въглища и брикети, тютюневи изделия от местно производство и внос. Цените на електро- и топлоенергията се прилагат при точно определени условия, съответно в тарифа и методика на ценообразуване. Цените на електроенергията и топлоенергията са диференцирани по потребители, за електроенергията и по напрежение, време на консумация, а за топлоенергията – в зависимост от налягането. </w:t>
      </w:r>
    </w:p>
    <w:p w14:paraId="3B0C91E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Всяко отклонение от условията за прилагане и образуване на цените се смята за присвояване на неправомерен доход. Това е така, защото увеличеното потребление на количества с по-високи параметри повишава средната цена и дължимата обща сума. </w:t>
      </w:r>
    </w:p>
    <w:p w14:paraId="6C45B78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Цените на въглищата и брикетите се определят на базата на </w:t>
      </w:r>
      <w:proofErr w:type="spellStart"/>
      <w:r w:rsidRPr="004251D1">
        <w:rPr>
          <w:rFonts w:ascii="Times New Roman" w:hAnsi="Times New Roman" w:cs="Times New Roman"/>
          <w:bCs/>
          <w:sz w:val="28"/>
          <w:szCs w:val="28"/>
        </w:rPr>
        <w:t>топлотворната</w:t>
      </w:r>
      <w:proofErr w:type="spellEnd"/>
      <w:r w:rsidRPr="004251D1">
        <w:rPr>
          <w:rFonts w:ascii="Times New Roman" w:hAnsi="Times New Roman" w:cs="Times New Roman"/>
          <w:bCs/>
          <w:sz w:val="28"/>
          <w:szCs w:val="28"/>
        </w:rPr>
        <w:t xml:space="preserve"> способност и са диференцирани за стопански потребности и за населението. Правителството субсидира въгледобива за разликата между цената на производителя и цената за населението. Конкретните цени са в зависимост от съдържанието на пепел, сяра, влага и едрина. </w:t>
      </w:r>
    </w:p>
    <w:p w14:paraId="499DF4B5" w14:textId="0FA51A76"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813492">
        <w:rPr>
          <w:rFonts w:ascii="Times New Roman" w:hAnsi="Times New Roman" w:cs="Times New Roman"/>
          <w:b/>
          <w:bCs/>
          <w:sz w:val="28"/>
          <w:szCs w:val="28"/>
        </w:rPr>
        <w:lastRenderedPageBreak/>
        <w:t>Пределни цени</w:t>
      </w:r>
      <w:r w:rsidRPr="004251D1">
        <w:rPr>
          <w:rFonts w:ascii="Times New Roman" w:hAnsi="Times New Roman" w:cs="Times New Roman"/>
          <w:bCs/>
          <w:sz w:val="28"/>
          <w:szCs w:val="28"/>
        </w:rPr>
        <w:t xml:space="preserve">. Те са максимално допустими цени, в които могат да се вместят конкретно договорените цени между контрагентите в процеса на размяната. Превишаването на пределните цени е нарушение и приходите от него представляват неправомерен доход. </w:t>
      </w:r>
    </w:p>
    <w:p w14:paraId="4BC18E9B" w14:textId="587B120C"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813492">
        <w:rPr>
          <w:rFonts w:ascii="Times New Roman" w:hAnsi="Times New Roman" w:cs="Times New Roman"/>
          <w:b/>
          <w:bCs/>
          <w:sz w:val="28"/>
          <w:szCs w:val="28"/>
        </w:rPr>
        <w:t>Цени на наблюдавани от правителството жизненоважни стоки и услуги за населението, които имат чувствително тегло в потребителската кошница, например лекарствата.</w:t>
      </w:r>
      <w:r w:rsidRPr="004251D1">
        <w:rPr>
          <w:rFonts w:ascii="Times New Roman" w:hAnsi="Times New Roman" w:cs="Times New Roman"/>
          <w:bCs/>
          <w:sz w:val="28"/>
          <w:szCs w:val="28"/>
        </w:rPr>
        <w:t xml:space="preserve"> Чрез контрол върху цените на ограничен кръг от стоки се цели да се постигне забавяне и овладяване на инфлацията. При ограничени бюджетни ресурси тази политика няма алтернатива. Разчита се на контрол чрез изравняване на отклоненията, осъществяван като параметрично регулиране. </w:t>
      </w:r>
    </w:p>
    <w:p w14:paraId="5B88BBC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 тези стоки и услуги съществуват задължителни норми за реда на определяне, утвърждаване и контрол върху цените. В България са въведени следните основни ограничения: </w:t>
      </w:r>
    </w:p>
    <w:p w14:paraId="2797C716" w14:textId="04703C44"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813492">
        <w:rPr>
          <w:rFonts w:ascii="Times New Roman" w:hAnsi="Times New Roman" w:cs="Times New Roman"/>
          <w:b/>
          <w:bCs/>
          <w:sz w:val="28"/>
          <w:szCs w:val="28"/>
        </w:rPr>
        <w:t>Установена е пределна рентабилност</w:t>
      </w:r>
      <w:r w:rsidRPr="004251D1">
        <w:rPr>
          <w:rFonts w:ascii="Times New Roman" w:hAnsi="Times New Roman" w:cs="Times New Roman"/>
          <w:bCs/>
          <w:sz w:val="28"/>
          <w:szCs w:val="28"/>
        </w:rPr>
        <w:t xml:space="preserve">, която не бива да се надвишава. Тя се изчислява като отношение на фактическата печалба към пълната себестойност на стоката, определени от Закона за счетоводството. Величината на пределната рентабилност е диференцирана за наблюдаваните групи от продоволствени стоки, лекарствени средства, вода и други. </w:t>
      </w:r>
    </w:p>
    <w:p w14:paraId="04BD6705" w14:textId="60C4B160"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813492">
        <w:rPr>
          <w:rFonts w:ascii="Times New Roman" w:hAnsi="Times New Roman" w:cs="Times New Roman"/>
          <w:b/>
          <w:bCs/>
          <w:sz w:val="28"/>
          <w:szCs w:val="28"/>
        </w:rPr>
        <w:t>Определена е пределна надценка за търговска дейност</w:t>
      </w:r>
      <w:r w:rsidRPr="004251D1">
        <w:rPr>
          <w:rFonts w:ascii="Times New Roman" w:hAnsi="Times New Roman" w:cs="Times New Roman"/>
          <w:bCs/>
          <w:sz w:val="28"/>
          <w:szCs w:val="28"/>
        </w:rPr>
        <w:t xml:space="preserve">, която също е максимално допустима и диференцирана по групи от стоки. Размерът на тази търговска надценка е еднократен и при продажбите нейният размер трябва да се разпределя между участниците в канала на реализация на договорна основа, без да надхвърля пределната стойност. </w:t>
      </w:r>
    </w:p>
    <w:p w14:paraId="7125DDFD" w14:textId="290C7952"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813492">
        <w:rPr>
          <w:rFonts w:ascii="Times New Roman" w:hAnsi="Times New Roman" w:cs="Times New Roman"/>
          <w:b/>
          <w:bCs/>
          <w:sz w:val="28"/>
          <w:szCs w:val="28"/>
        </w:rPr>
        <w:t>Транспортните разходи се признават във фактическия им размер</w:t>
      </w:r>
      <w:r w:rsidRPr="004251D1">
        <w:rPr>
          <w:rFonts w:ascii="Times New Roman" w:hAnsi="Times New Roman" w:cs="Times New Roman"/>
          <w:bCs/>
          <w:sz w:val="28"/>
          <w:szCs w:val="28"/>
        </w:rPr>
        <w:t xml:space="preserve">, а когато не могат да се докажат с документ – в размер на 1% от покупната цена. Обект на пряко регулиране от държавата са посочените нормативи, а не самите цени. Неспазването на тези максимално допустими нормативи е критерий за установяване на неправомерен доход. В този случай </w:t>
      </w:r>
      <w:r w:rsidR="00813492">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и нейните ръководители носят отговорност и търпят материални санкции. </w:t>
      </w:r>
    </w:p>
    <w:p w14:paraId="54C2356F" w14:textId="07FEDEB9" w:rsid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Европейския съюз в три от петте основни пазара на лекарства се прилагат </w:t>
      </w:r>
      <w:r w:rsidRPr="005139DF">
        <w:rPr>
          <w:rFonts w:ascii="Times New Roman" w:hAnsi="Times New Roman" w:cs="Times New Roman"/>
          <w:b/>
          <w:bCs/>
          <w:sz w:val="28"/>
          <w:szCs w:val="28"/>
        </w:rPr>
        <w:t>външни референтни цени</w:t>
      </w:r>
      <w:r w:rsidR="00744F62">
        <w:rPr>
          <w:rFonts w:ascii="Times New Roman" w:hAnsi="Times New Roman" w:cs="Times New Roman"/>
          <w:bCs/>
          <w:sz w:val="28"/>
          <w:szCs w:val="28"/>
        </w:rPr>
        <w:t xml:space="preserve"> (вижте фигура 9</w:t>
      </w:r>
      <w:r w:rsidRPr="004251D1">
        <w:rPr>
          <w:rFonts w:ascii="Times New Roman" w:hAnsi="Times New Roman" w:cs="Times New Roman"/>
          <w:bCs/>
          <w:sz w:val="28"/>
          <w:szCs w:val="28"/>
        </w:rPr>
        <w:t xml:space="preserve">.1). Франция, Италия и Испания наблюдават и правят сравнения с цените на лекарствата в останалите страни от Европейския съюз при определянето на претеглени цени за </w:t>
      </w:r>
      <w:proofErr w:type="spellStart"/>
      <w:r w:rsidRPr="004251D1">
        <w:rPr>
          <w:rFonts w:ascii="Times New Roman" w:hAnsi="Times New Roman" w:cs="Times New Roman"/>
          <w:bCs/>
          <w:sz w:val="28"/>
          <w:szCs w:val="28"/>
        </w:rPr>
        <w:t>реинбурсиране</w:t>
      </w:r>
      <w:proofErr w:type="spellEnd"/>
      <w:r w:rsidRPr="004251D1">
        <w:rPr>
          <w:rFonts w:ascii="Times New Roman" w:hAnsi="Times New Roman" w:cs="Times New Roman"/>
          <w:bCs/>
          <w:sz w:val="28"/>
          <w:szCs w:val="28"/>
        </w:rPr>
        <w:t xml:space="preserve">. Определянето на цените на лекарствата на европейските пазари се отличава с нарастваща взаимна зависимост. </w:t>
      </w:r>
    </w:p>
    <w:p w14:paraId="181B5DE0" w14:textId="77777777" w:rsidR="00670007" w:rsidRPr="004251D1" w:rsidRDefault="00670007"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503AA9FF" w14:textId="7E3B5957" w:rsidR="004251D1" w:rsidRPr="004251D1" w:rsidRDefault="004251D1" w:rsidP="00670007">
      <w:pPr>
        <w:autoSpaceDE w:val="0"/>
        <w:autoSpaceDN w:val="0"/>
        <w:adjustRightInd w:val="0"/>
        <w:spacing w:after="0" w:line="240" w:lineRule="auto"/>
        <w:ind w:firstLine="708"/>
        <w:jc w:val="center"/>
        <w:rPr>
          <w:rFonts w:ascii="Times New Roman" w:hAnsi="Times New Roman" w:cs="Times New Roman"/>
          <w:bCs/>
          <w:sz w:val="28"/>
          <w:szCs w:val="28"/>
        </w:rPr>
      </w:pPr>
      <w:r w:rsidRPr="004251D1">
        <w:rPr>
          <w:rFonts w:ascii="Times New Roman" w:hAnsi="Times New Roman" w:cs="Times New Roman"/>
          <w:bCs/>
          <w:noProof/>
          <w:sz w:val="28"/>
          <w:szCs w:val="28"/>
          <w:lang w:eastAsia="bg-BG"/>
        </w:rPr>
        <w:lastRenderedPageBreak/>
        <w:drawing>
          <wp:inline distT="0" distB="0" distL="0" distR="0" wp14:anchorId="0B12BD53" wp14:editId="42F04F34">
            <wp:extent cx="4190260" cy="3302493"/>
            <wp:effectExtent l="0" t="0" r="1270" b="0"/>
            <wp:docPr id="6328" name="Picture 6328"/>
            <wp:cNvGraphicFramePr/>
            <a:graphic xmlns:a="http://schemas.openxmlformats.org/drawingml/2006/main">
              <a:graphicData uri="http://schemas.openxmlformats.org/drawingml/2006/picture">
                <pic:pic xmlns:pic="http://schemas.openxmlformats.org/drawingml/2006/picture">
                  <pic:nvPicPr>
                    <pic:cNvPr id="6328" name="Picture 6328"/>
                    <pic:cNvPicPr/>
                  </pic:nvPicPr>
                  <pic:blipFill>
                    <a:blip r:embed="rId8"/>
                    <a:stretch>
                      <a:fillRect/>
                    </a:stretch>
                  </pic:blipFill>
                  <pic:spPr>
                    <a:xfrm>
                      <a:off x="0" y="0"/>
                      <a:ext cx="4202225" cy="3311923"/>
                    </a:xfrm>
                    <a:prstGeom prst="rect">
                      <a:avLst/>
                    </a:prstGeom>
                  </pic:spPr>
                </pic:pic>
              </a:graphicData>
            </a:graphic>
          </wp:inline>
        </w:drawing>
      </w:r>
    </w:p>
    <w:p w14:paraId="6CED2800" w14:textId="77777777" w:rsidR="00670007" w:rsidRDefault="00670007"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4CD2BAF4" w14:textId="77777777" w:rsidR="00670007" w:rsidRPr="004251D1" w:rsidRDefault="00670007" w:rsidP="00670007">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Фигура </w:t>
      </w:r>
      <w:r>
        <w:rPr>
          <w:rFonts w:ascii="Times New Roman" w:hAnsi="Times New Roman" w:cs="Times New Roman"/>
          <w:bCs/>
          <w:sz w:val="28"/>
          <w:szCs w:val="28"/>
        </w:rPr>
        <w:t>9</w:t>
      </w:r>
      <w:r w:rsidRPr="004251D1">
        <w:rPr>
          <w:rFonts w:ascii="Times New Roman" w:hAnsi="Times New Roman" w:cs="Times New Roman"/>
          <w:bCs/>
          <w:sz w:val="28"/>
          <w:szCs w:val="28"/>
        </w:rPr>
        <w:t xml:space="preserve">.1 Външно референтно ценообразуване в Европа, 2002 г </w:t>
      </w:r>
    </w:p>
    <w:p w14:paraId="4B5B077E" w14:textId="77777777" w:rsidR="00670007" w:rsidRDefault="00670007"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75986D3B" w14:textId="5CEA58A5"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5139DF">
        <w:rPr>
          <w:rFonts w:ascii="Times New Roman" w:hAnsi="Times New Roman" w:cs="Times New Roman"/>
          <w:b/>
          <w:bCs/>
          <w:sz w:val="28"/>
          <w:szCs w:val="28"/>
        </w:rPr>
        <w:t>Минимални (защитни) изкупни цени</w:t>
      </w:r>
      <w:r w:rsidRPr="004251D1">
        <w:rPr>
          <w:rFonts w:ascii="Times New Roman" w:hAnsi="Times New Roman" w:cs="Times New Roman"/>
          <w:bCs/>
          <w:sz w:val="28"/>
          <w:szCs w:val="28"/>
        </w:rPr>
        <w:t xml:space="preserve">. Те се определят за някои от основните селскостопански произведения. Чрез тях се гарантира покриване на разходите на стокопроизводителите. Те би трябвало да носят и доход, за да гарантират възможности за разширено възпроизводство. </w:t>
      </w:r>
    </w:p>
    <w:p w14:paraId="2F2954D3" w14:textId="77777777" w:rsidR="005139DF"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Основен регулатор за поддържане на цените е фонд “Земеделие”. Чрез него се цели минимизиране на отклоненията на средната пазарна цена от минималн</w:t>
      </w:r>
      <w:r w:rsidR="005139DF">
        <w:rPr>
          <w:rFonts w:ascii="Times New Roman" w:hAnsi="Times New Roman" w:cs="Times New Roman"/>
          <w:bCs/>
          <w:sz w:val="28"/>
          <w:szCs w:val="28"/>
        </w:rPr>
        <w:t xml:space="preserve">ата изкупна цена. </w:t>
      </w:r>
    </w:p>
    <w:p w14:paraId="73A36937" w14:textId="5FA7E483"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5139DF">
        <w:rPr>
          <w:rFonts w:ascii="Times New Roman" w:hAnsi="Times New Roman" w:cs="Times New Roman"/>
          <w:b/>
          <w:bCs/>
          <w:sz w:val="28"/>
          <w:szCs w:val="28"/>
        </w:rPr>
        <w:t>Минимални (прагови) цени на вносни стоки</w:t>
      </w:r>
      <w:r w:rsidRPr="004251D1">
        <w:rPr>
          <w:rFonts w:ascii="Times New Roman" w:hAnsi="Times New Roman" w:cs="Times New Roman"/>
          <w:bCs/>
          <w:sz w:val="28"/>
          <w:szCs w:val="28"/>
        </w:rPr>
        <w:t xml:space="preserve">. Те служат за защита на местните производители от прилагането на дъмпингови цени от чужди фирми вносители. </w:t>
      </w:r>
    </w:p>
    <w:p w14:paraId="5F085BB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5139DF">
        <w:rPr>
          <w:rFonts w:ascii="Times New Roman" w:hAnsi="Times New Roman" w:cs="Times New Roman"/>
          <w:b/>
          <w:bCs/>
          <w:sz w:val="28"/>
          <w:szCs w:val="28"/>
        </w:rPr>
        <w:t>Дъмпинговите цени са значително по-ниски от цените на местните производители.</w:t>
      </w:r>
      <w:r w:rsidRPr="004251D1">
        <w:rPr>
          <w:rFonts w:ascii="Times New Roman" w:hAnsi="Times New Roman" w:cs="Times New Roman"/>
          <w:bCs/>
          <w:sz w:val="28"/>
          <w:szCs w:val="28"/>
        </w:rPr>
        <w:t xml:space="preserve"> Следвайки агресивна ценова политика за завладяване на пазара, доставчиците определят цени, които са без печалба, дори на загуба, за да си осигурят висока конкурентоспособност и по-голям пазарен дял. Покупката на по-евтини стоки, често пъти дори с високо качество, носи безспорни изгоди за местните потребители в краткосрочен план. Неблагоприятните последици от загубите и дори разоряването на местните производители имат обаче дълготрайно действие. Една от формите на защита, които държавата прилага, е определянето на минимални цени по вноса, които действат по механизма на пределните цени. В практиката на България има опит при въвеждане на временни минимални цени по вноса на такива стоки като замразено месо, алкохолни напитки в бутилки, тютюневи изделия, плодове и зеленчуци. Минималните цени </w:t>
      </w:r>
      <w:r w:rsidRPr="004251D1">
        <w:rPr>
          <w:rFonts w:ascii="Times New Roman" w:hAnsi="Times New Roman" w:cs="Times New Roman"/>
          <w:bCs/>
          <w:sz w:val="28"/>
          <w:szCs w:val="28"/>
        </w:rPr>
        <w:lastRenderedPageBreak/>
        <w:t xml:space="preserve">служат за формиране на митническата облагаема стойност и върху тях се начисляват митата, дължимите такси и транспортните разходи. </w:t>
      </w:r>
    </w:p>
    <w:p w14:paraId="7C36A294" w14:textId="762074CA"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5139DF">
        <w:rPr>
          <w:rFonts w:ascii="Times New Roman" w:hAnsi="Times New Roman" w:cs="Times New Roman"/>
          <w:b/>
          <w:bCs/>
          <w:sz w:val="28"/>
          <w:szCs w:val="28"/>
        </w:rPr>
        <w:t>Мораториум (отлагане) на изменението на цените</w:t>
      </w:r>
      <w:r w:rsidRPr="004251D1">
        <w:rPr>
          <w:rFonts w:ascii="Times New Roman" w:hAnsi="Times New Roman" w:cs="Times New Roman"/>
          <w:bCs/>
          <w:sz w:val="28"/>
          <w:szCs w:val="28"/>
        </w:rPr>
        <w:t xml:space="preserve">. Известен е още като замразяване на цените. Практикува се като временна мярка по отношение на всички цени или на част от тях за определен срок от време. Може да се съпровожда и от замразяване на търговските надценки на всички равнища на каналите на реализация. </w:t>
      </w:r>
    </w:p>
    <w:p w14:paraId="5707F922" w14:textId="3BE6DF20"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Чрез програми за стабилност на цените отделни предприятия или групи от </w:t>
      </w:r>
      <w:r w:rsidR="005139DF">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могат да получат право да повишат цените на едни стоки при условие, че запазят стабилността на общото равнище на цените за сметка на съответно понижение на цените на други стоки от тяхната номенклатура. </w:t>
      </w:r>
    </w:p>
    <w:p w14:paraId="67ED607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899E01D" w14:textId="230A9E5A"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Пример: Общата организация на пазара на говеждо и телешко месо в Европейския съюз</w:t>
      </w:r>
      <w:r w:rsidR="005139DF">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6237852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339CA">
        <w:rPr>
          <w:rFonts w:ascii="Times New Roman" w:hAnsi="Times New Roman" w:cs="Times New Roman"/>
          <w:b/>
          <w:bCs/>
          <w:sz w:val="28"/>
          <w:szCs w:val="28"/>
        </w:rPr>
        <w:t>Цел на режима</w:t>
      </w:r>
      <w:r w:rsidRPr="004251D1">
        <w:rPr>
          <w:rFonts w:ascii="Times New Roman" w:hAnsi="Times New Roman" w:cs="Times New Roman"/>
          <w:bCs/>
          <w:sz w:val="28"/>
          <w:szCs w:val="28"/>
        </w:rPr>
        <w:t xml:space="preserve">: Общата организация на пазара в сектор “Говеждо и телешко месо” цели да се стабилизира пазара и да се осигури добър стандарт на живот за селскостопанската общност, да се възстанови  балансът в консумацията на месо в Общността в полза на сектора на говеждото месо и да се подобри конкурентоспособността на тези продукти на международните пазари. Друга цел на режима е насърчаване на методи на производство, съобразени с опазването на околната среда чрез обвързване на директните плащания с изисквания за опазване на околната среда.  </w:t>
      </w:r>
    </w:p>
    <w:p w14:paraId="06FD555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Основните елементи на режима са директни плащания за производителите, помощи за частно и публично складиране, експортни субсидии и допълнителни вносни мита. </w:t>
      </w:r>
    </w:p>
    <w:p w14:paraId="3FBE8D7E"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Основни регламенти: Регламент на Съвета 1254/99 за общата организация на пазара в сектор говеждо и телешко месо, допълнен от Регламент на Съвета 1782/03, постановяващ общи правила за схеми за директни помощи в рамките на Общата селскостопанска политика и относно създаването на определени схеми за подпомагането на селскостопанските производители, Регламент на Европейския Парламент и на Съвета 1760/2000 относно създаване на система за идентификацията и регистрацията на ЕРД и за етикетиране на продукти от говеждо месо, Регламент на Съвета 1208/1981 относно класификацията на кланичните трупове. </w:t>
      </w:r>
    </w:p>
    <w:p w14:paraId="0C46F3C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339CA">
        <w:rPr>
          <w:rFonts w:ascii="Times New Roman" w:hAnsi="Times New Roman" w:cs="Times New Roman"/>
          <w:b/>
          <w:bCs/>
          <w:sz w:val="28"/>
          <w:szCs w:val="28"/>
        </w:rPr>
        <w:t>Частно и публично складиране</w:t>
      </w:r>
      <w:r w:rsidRPr="004251D1">
        <w:rPr>
          <w:rFonts w:ascii="Times New Roman" w:hAnsi="Times New Roman" w:cs="Times New Roman"/>
          <w:bCs/>
          <w:sz w:val="28"/>
          <w:szCs w:val="28"/>
        </w:rPr>
        <w:t xml:space="preserve"> (интервенция): </w:t>
      </w:r>
    </w:p>
    <w:p w14:paraId="19035E22" w14:textId="0E8F1F5E" w:rsidR="004251D1" w:rsidRPr="005139DF" w:rsidRDefault="004251D1" w:rsidP="00541AD1">
      <w:pPr>
        <w:pStyle w:val="ListParagraph"/>
        <w:numPr>
          <w:ilvl w:val="0"/>
          <w:numId w:val="70"/>
        </w:numPr>
        <w:autoSpaceDE w:val="0"/>
        <w:autoSpaceDN w:val="0"/>
        <w:adjustRightInd w:val="0"/>
        <w:spacing w:after="0" w:line="240" w:lineRule="auto"/>
        <w:jc w:val="both"/>
        <w:rPr>
          <w:rFonts w:ascii="Times New Roman" w:hAnsi="Times New Roman" w:cs="Times New Roman"/>
          <w:bCs/>
          <w:sz w:val="28"/>
          <w:szCs w:val="28"/>
        </w:rPr>
      </w:pPr>
      <w:r w:rsidRPr="005139DF">
        <w:rPr>
          <w:rFonts w:ascii="Times New Roman" w:hAnsi="Times New Roman" w:cs="Times New Roman"/>
          <w:bCs/>
          <w:sz w:val="28"/>
          <w:szCs w:val="28"/>
        </w:rPr>
        <w:t xml:space="preserve">частно складиране Изплащането на помощи за частно складиране може да бъде разрешено, когато регистрираната средна пазарна цена в Общността, изчислена на базата на скалата на Общността за класификация на труповете на животни от рода на ЕРД, приета с Регламент (EEC) 1208/81 е и има  вероятност  да остане на ниво, по-ниско от  103 % от базисната цена. Базисната цена за трупове на </w:t>
      </w:r>
      <w:r w:rsidRPr="005139DF">
        <w:rPr>
          <w:rFonts w:ascii="Times New Roman" w:hAnsi="Times New Roman" w:cs="Times New Roman"/>
          <w:bCs/>
          <w:sz w:val="28"/>
          <w:szCs w:val="28"/>
        </w:rPr>
        <w:lastRenderedPageBreak/>
        <w:t>мъжки животни от рода на едър рогат добитък (ЕРД) – качество R3 по скалата на Общността, е фиксирана на  EUR 2224/тон</w:t>
      </w:r>
      <w:r w:rsidR="005139DF" w:rsidRPr="005139DF">
        <w:rPr>
          <w:rFonts w:ascii="Times New Roman" w:hAnsi="Times New Roman" w:cs="Times New Roman"/>
          <w:bCs/>
          <w:sz w:val="28"/>
          <w:szCs w:val="28"/>
        </w:rPr>
        <w:t>;</w:t>
      </w:r>
      <w:r w:rsidRPr="005139DF">
        <w:rPr>
          <w:rFonts w:ascii="Times New Roman" w:hAnsi="Times New Roman" w:cs="Times New Roman"/>
          <w:bCs/>
          <w:sz w:val="28"/>
          <w:szCs w:val="28"/>
        </w:rPr>
        <w:t xml:space="preserve"> </w:t>
      </w:r>
    </w:p>
    <w:p w14:paraId="313EF859" w14:textId="302ECD84" w:rsidR="004251D1" w:rsidRPr="005139DF" w:rsidRDefault="004251D1" w:rsidP="00541AD1">
      <w:pPr>
        <w:pStyle w:val="ListParagraph"/>
        <w:numPr>
          <w:ilvl w:val="0"/>
          <w:numId w:val="70"/>
        </w:numPr>
        <w:autoSpaceDE w:val="0"/>
        <w:autoSpaceDN w:val="0"/>
        <w:adjustRightInd w:val="0"/>
        <w:spacing w:after="0" w:line="240" w:lineRule="auto"/>
        <w:jc w:val="both"/>
        <w:rPr>
          <w:rFonts w:ascii="Times New Roman" w:hAnsi="Times New Roman" w:cs="Times New Roman"/>
          <w:bCs/>
          <w:sz w:val="28"/>
          <w:szCs w:val="28"/>
        </w:rPr>
      </w:pPr>
      <w:r w:rsidRPr="005139DF">
        <w:rPr>
          <w:rFonts w:ascii="Times New Roman" w:hAnsi="Times New Roman" w:cs="Times New Roman"/>
          <w:bCs/>
          <w:sz w:val="28"/>
          <w:szCs w:val="28"/>
        </w:rPr>
        <w:t>публично складиране</w:t>
      </w:r>
      <w:r w:rsidR="005139DF" w:rsidRPr="005139DF">
        <w:rPr>
          <w:rFonts w:ascii="Times New Roman" w:hAnsi="Times New Roman" w:cs="Times New Roman"/>
          <w:bCs/>
          <w:sz w:val="28"/>
          <w:szCs w:val="28"/>
        </w:rPr>
        <w:t>.</w:t>
      </w:r>
      <w:r w:rsidRPr="005139DF">
        <w:rPr>
          <w:rFonts w:ascii="Times New Roman" w:hAnsi="Times New Roman" w:cs="Times New Roman"/>
          <w:bCs/>
          <w:sz w:val="28"/>
          <w:szCs w:val="28"/>
        </w:rPr>
        <w:t xml:space="preserve"> Публична интервенция на пазара </w:t>
      </w:r>
      <w:r w:rsidR="005139DF" w:rsidRPr="005139DF">
        <w:rPr>
          <w:rFonts w:ascii="Times New Roman" w:hAnsi="Times New Roman" w:cs="Times New Roman"/>
          <w:bCs/>
          <w:sz w:val="28"/>
          <w:szCs w:val="28"/>
        </w:rPr>
        <w:t>се организира</w:t>
      </w:r>
      <w:r w:rsidRPr="005139DF">
        <w:rPr>
          <w:rFonts w:ascii="Times New Roman" w:hAnsi="Times New Roman" w:cs="Times New Roman"/>
          <w:bCs/>
          <w:sz w:val="28"/>
          <w:szCs w:val="28"/>
        </w:rPr>
        <w:t xml:space="preserve">, ако в продължение на две последователни седмици средната пазарна цена в страна - членка или в район на страна - членка, регистрирана на базата на действащата скала на Общността, приета с Регламент (EEC) 1208/81, падне под нивото от EUR 1560/тон. В този случай се определят тарифни  номера по Комбинираната номенклатура на ЕС за видовете прясно или замразено месо,  произведено в Общността, които могат да бъдат изкупени от интервенционните агенции. </w:t>
      </w:r>
    </w:p>
    <w:p w14:paraId="57CA386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339CA">
        <w:rPr>
          <w:rFonts w:ascii="Times New Roman" w:hAnsi="Times New Roman" w:cs="Times New Roman"/>
          <w:b/>
          <w:bCs/>
          <w:sz w:val="28"/>
          <w:szCs w:val="28"/>
        </w:rPr>
        <w:t>Идентификацията и регистрацията на ЕРД и етикетиране на продукти от говеждо месо</w:t>
      </w:r>
      <w:r w:rsidRPr="004251D1">
        <w:rPr>
          <w:rFonts w:ascii="Times New Roman" w:hAnsi="Times New Roman" w:cs="Times New Roman"/>
          <w:bCs/>
          <w:sz w:val="28"/>
          <w:szCs w:val="28"/>
        </w:rPr>
        <w:t xml:space="preserve">. </w:t>
      </w:r>
    </w:p>
    <w:p w14:paraId="03E3ECD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Въведени са изисквания за създаване на система за идентификация и регистрация на говедата и изисквания за етикетирането на говеждо и телешко месо. За да стане възможно проследяването на движението на говедата, животните трябва да са идентифицирани с ушна марка, поставена на всяко ухо, а при придвижване да се придружават със здравен паспорт. Характеристиките на ушната марка и на паспорта са единни за цялата общност. Същевременно животновъдите трябва да водят актуален регистър на животните в техните стопанства.  </w:t>
      </w:r>
    </w:p>
    <w:p w14:paraId="5A00D66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Системата за задължително етикетиране на говеждо месо е в сила от 01.01.2002 г. Съгласно тази задължителна система операторите и организациите, които търгуват с говеждо месо, трябва допълнително да посочват на етикета информация за произхода на животното, къде животното е било родено, угоявано и заклано. Целта на това етикетиране е да се направи пазарът на говеждо месо максимално прозрачен. </w:t>
      </w:r>
    </w:p>
    <w:p w14:paraId="6D2D39E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339CA">
        <w:rPr>
          <w:rFonts w:ascii="Times New Roman" w:hAnsi="Times New Roman" w:cs="Times New Roman"/>
          <w:b/>
          <w:bCs/>
          <w:sz w:val="28"/>
          <w:szCs w:val="28"/>
        </w:rPr>
        <w:t>Класификация на кланичните трупове</w:t>
      </w:r>
      <w:r w:rsidRPr="004251D1">
        <w:rPr>
          <w:rFonts w:ascii="Times New Roman" w:hAnsi="Times New Roman" w:cs="Times New Roman"/>
          <w:bCs/>
          <w:sz w:val="28"/>
          <w:szCs w:val="28"/>
        </w:rPr>
        <w:t xml:space="preserve">. </w:t>
      </w:r>
    </w:p>
    <w:p w14:paraId="7B12432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Въведена е единна  скала за класификация на кланични трупове на възрастни говеда от рода на ЕРД, произхождащи от Общността (S)EUROP. Тази класификация се използва за регистриране и докладване на цените и за нуждите на интервенцията в сектора. Системата е разработена на базата на два показателя – </w:t>
      </w:r>
      <w:proofErr w:type="spellStart"/>
      <w:r w:rsidRPr="004251D1">
        <w:rPr>
          <w:rFonts w:ascii="Times New Roman" w:hAnsi="Times New Roman" w:cs="Times New Roman"/>
          <w:bCs/>
          <w:sz w:val="28"/>
          <w:szCs w:val="28"/>
        </w:rPr>
        <w:t>конформация</w:t>
      </w:r>
      <w:proofErr w:type="spellEnd"/>
      <w:r w:rsidRPr="004251D1">
        <w:rPr>
          <w:rFonts w:ascii="Times New Roman" w:hAnsi="Times New Roman" w:cs="Times New Roman"/>
          <w:bCs/>
          <w:sz w:val="28"/>
          <w:szCs w:val="28"/>
        </w:rPr>
        <w:t xml:space="preserve"> на кланичния труп и степента на </w:t>
      </w:r>
      <w:proofErr w:type="spellStart"/>
      <w:r w:rsidRPr="004251D1">
        <w:rPr>
          <w:rFonts w:ascii="Times New Roman" w:hAnsi="Times New Roman" w:cs="Times New Roman"/>
          <w:bCs/>
          <w:sz w:val="28"/>
          <w:szCs w:val="28"/>
        </w:rPr>
        <w:t>залоеност</w:t>
      </w:r>
      <w:proofErr w:type="spellEnd"/>
      <w:r w:rsidRPr="004251D1">
        <w:rPr>
          <w:rFonts w:ascii="Times New Roman" w:hAnsi="Times New Roman" w:cs="Times New Roman"/>
          <w:bCs/>
          <w:sz w:val="28"/>
          <w:szCs w:val="28"/>
        </w:rPr>
        <w:t xml:space="preserve">. Комбинацията от тези критерии дава класовете по системата (S)EUROP. Търговия с трети страни. </w:t>
      </w:r>
    </w:p>
    <w:p w14:paraId="3111140E" w14:textId="3BF01F42"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339CA">
        <w:rPr>
          <w:rFonts w:ascii="Times New Roman" w:hAnsi="Times New Roman" w:cs="Times New Roman"/>
          <w:b/>
          <w:bCs/>
          <w:sz w:val="28"/>
          <w:szCs w:val="28"/>
        </w:rPr>
        <w:t>При регулиране на търговията със страни извън ЕС (трети страни)</w:t>
      </w:r>
      <w:r w:rsidRPr="004251D1">
        <w:rPr>
          <w:rFonts w:ascii="Times New Roman" w:hAnsi="Times New Roman" w:cs="Times New Roman"/>
          <w:bCs/>
          <w:sz w:val="28"/>
          <w:szCs w:val="28"/>
        </w:rPr>
        <w:t xml:space="preserve"> се използват следните инструменти – импортни и експортни лицензи, експортни субсидии и вносни мита.  </w:t>
      </w:r>
    </w:p>
    <w:p w14:paraId="773B1CE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31D180A6" w14:textId="0E2C3B08" w:rsidR="004251D1"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9.3 </w:t>
      </w:r>
      <w:r w:rsidR="004251D1" w:rsidRPr="00D002EF">
        <w:rPr>
          <w:rFonts w:ascii="Times New Roman" w:hAnsi="Times New Roman" w:cs="Times New Roman"/>
          <w:b/>
          <w:bCs/>
          <w:sz w:val="28"/>
          <w:szCs w:val="28"/>
        </w:rPr>
        <w:t xml:space="preserve">Косвени методи и форми на регулиране на цените </w:t>
      </w:r>
    </w:p>
    <w:p w14:paraId="4D411DF8"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56279FB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Мащабите на косвеното регулиране на цените на стоките от местно производство и от внос и предназначените за износ са далеч по-обхватни и разнообразни. </w:t>
      </w:r>
    </w:p>
    <w:p w14:paraId="4927FE09" w14:textId="32C400A7" w:rsidR="004251D1" w:rsidRPr="007339CA" w:rsidRDefault="004251D1" w:rsidP="00541AD1">
      <w:pPr>
        <w:pStyle w:val="ListParagraph"/>
        <w:numPr>
          <w:ilvl w:val="0"/>
          <w:numId w:val="71"/>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Фиксираните, пределните и наблюдаваните цени влияят косвено и върху свободно определяните пазарни цени, защото те се отнасят за продукция, която се влага в производството на други стоки. </w:t>
      </w:r>
    </w:p>
    <w:p w14:paraId="1E497A16" w14:textId="2459DC17" w:rsidR="004251D1" w:rsidRPr="007339CA" w:rsidRDefault="004251D1" w:rsidP="00541AD1">
      <w:pPr>
        <w:pStyle w:val="ListParagraph"/>
        <w:numPr>
          <w:ilvl w:val="0"/>
          <w:numId w:val="71"/>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Държавата регулира косвено цените чрез икономическите механизми или регулатори – данъци, такси, акцизи, мита. В съответните нормативни документи за тях се определят размерите спрямо разходите, покупните цени на вносните стоки, продажните цени на вносните стоки. </w:t>
      </w:r>
    </w:p>
    <w:p w14:paraId="03DD572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Като задължителни стойности за начисляване и внасяне в държавния бюджет те влияят върху пазарното образуване на цените, върху равнищата и съотношенията на цените. Промените в тяхната величина и на условията за внасянето им в държавния бюджет също въздействат косвено върху цените. Чрез промени в равнището на заплатите и начисленията към тях, пенсиите, стипендиите и другите парични доходи на населението държавата също може да влияе косвено върху динамиката на цените. </w:t>
      </w:r>
    </w:p>
    <w:p w14:paraId="5D65B06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Деблокирането и попълването на държавния резерв се използва от правителството за балансиране на търсенето и предлагането и по този начин за регулиране на цените. </w:t>
      </w:r>
    </w:p>
    <w:p w14:paraId="212E8BC9"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1B5625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Пример за влиянието на данъка върху добавената стойност при формирането на вътрешната цена на вносна стока </w:t>
      </w:r>
    </w:p>
    <w:p w14:paraId="5E4CDFD4" w14:textId="77777777" w:rsidR="007339CA"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Според За</w:t>
      </w:r>
      <w:r w:rsidR="007339CA">
        <w:rPr>
          <w:rFonts w:ascii="Times New Roman" w:hAnsi="Times New Roman" w:cs="Times New Roman"/>
          <w:bCs/>
          <w:sz w:val="28"/>
          <w:szCs w:val="28"/>
        </w:rPr>
        <w:t xml:space="preserve">кона за ДДС за внос се смята: </w:t>
      </w:r>
    </w:p>
    <w:p w14:paraId="768B09B5" w14:textId="4633A6F3" w:rsidR="004251D1" w:rsidRPr="007339CA" w:rsidRDefault="004251D1" w:rsidP="00541AD1">
      <w:pPr>
        <w:pStyle w:val="ListParagraph"/>
        <w:numPr>
          <w:ilvl w:val="0"/>
          <w:numId w:val="72"/>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преминаването на стоката през митническата граница; </w:t>
      </w:r>
    </w:p>
    <w:p w14:paraId="4F005DFD" w14:textId="1768CAAB" w:rsidR="004251D1" w:rsidRPr="007339CA" w:rsidRDefault="004251D1" w:rsidP="00541AD1">
      <w:pPr>
        <w:pStyle w:val="ListParagraph"/>
        <w:numPr>
          <w:ilvl w:val="0"/>
          <w:numId w:val="72"/>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влизането </w:t>
      </w:r>
      <w:r w:rsidR="007339CA" w:rsidRPr="007339CA">
        <w:rPr>
          <w:rFonts w:ascii="Times New Roman" w:hAnsi="Times New Roman" w:cs="Times New Roman"/>
          <w:bCs/>
          <w:sz w:val="28"/>
          <w:szCs w:val="28"/>
        </w:rPr>
        <w:t>е</w:t>
      </w:r>
      <w:r w:rsidRPr="007339CA">
        <w:rPr>
          <w:rFonts w:ascii="Times New Roman" w:hAnsi="Times New Roman" w:cs="Times New Roman"/>
          <w:bCs/>
          <w:sz w:val="28"/>
          <w:szCs w:val="28"/>
        </w:rPr>
        <w:t xml:space="preserve"> от безмитните зони или </w:t>
      </w:r>
      <w:proofErr w:type="spellStart"/>
      <w:r w:rsidRPr="007339CA">
        <w:rPr>
          <w:rFonts w:ascii="Times New Roman" w:hAnsi="Times New Roman" w:cs="Times New Roman"/>
          <w:bCs/>
          <w:sz w:val="28"/>
          <w:szCs w:val="28"/>
        </w:rPr>
        <w:t>антрепозитни</w:t>
      </w:r>
      <w:proofErr w:type="spellEnd"/>
      <w:r w:rsidRPr="007339CA">
        <w:rPr>
          <w:rFonts w:ascii="Times New Roman" w:hAnsi="Times New Roman" w:cs="Times New Roman"/>
          <w:bCs/>
          <w:sz w:val="28"/>
          <w:szCs w:val="28"/>
        </w:rPr>
        <w:t xml:space="preserve"> складове в останалата част на територията на страната; </w:t>
      </w:r>
    </w:p>
    <w:p w14:paraId="5C2288DA" w14:textId="2A33C496" w:rsidR="004251D1" w:rsidRPr="007339CA" w:rsidRDefault="004251D1" w:rsidP="00541AD1">
      <w:pPr>
        <w:pStyle w:val="ListParagraph"/>
        <w:numPr>
          <w:ilvl w:val="0"/>
          <w:numId w:val="72"/>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преминаване на митническата граница на поправена или изменена стока, която е била изнесена от страната с тази цел. </w:t>
      </w:r>
    </w:p>
    <w:p w14:paraId="33E8FA2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ДДС и акцизите се събират от митническите органи и стоката се освобождава от митнически контрол едва след внасяне на всички дължими плащания. </w:t>
      </w:r>
    </w:p>
    <w:p w14:paraId="070F1FFE" w14:textId="77777777" w:rsidR="007339CA"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Данъците и акцизите се начисляват по ставки, които са същите като за стоките от местно производство, независимо от това дали вносителят е регистрирано по закона за ДДС лице, или не. Данъчен кредит се признава само ако вносителят е регистрирано лице и притежава сле</w:t>
      </w:r>
      <w:r w:rsidR="007339CA">
        <w:rPr>
          <w:rFonts w:ascii="Times New Roman" w:hAnsi="Times New Roman" w:cs="Times New Roman"/>
          <w:bCs/>
          <w:sz w:val="28"/>
          <w:szCs w:val="28"/>
        </w:rPr>
        <w:t xml:space="preserve">дните задължителни документи: </w:t>
      </w:r>
    </w:p>
    <w:p w14:paraId="713F45B1" w14:textId="77777777" w:rsidR="007339CA" w:rsidRPr="007339CA" w:rsidRDefault="007339CA" w:rsidP="00541AD1">
      <w:pPr>
        <w:pStyle w:val="ListParagraph"/>
        <w:numPr>
          <w:ilvl w:val="0"/>
          <w:numId w:val="73"/>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митническа декларация; </w:t>
      </w:r>
    </w:p>
    <w:p w14:paraId="001567E0" w14:textId="6308875E" w:rsidR="007339CA" w:rsidRPr="007339CA" w:rsidRDefault="007339CA" w:rsidP="00541AD1">
      <w:pPr>
        <w:pStyle w:val="ListParagraph"/>
        <w:numPr>
          <w:ilvl w:val="0"/>
          <w:numId w:val="73"/>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 xml:space="preserve">импортна фактура; </w:t>
      </w:r>
    </w:p>
    <w:p w14:paraId="0BD14D50" w14:textId="593DFFB5" w:rsidR="004251D1" w:rsidRPr="007339CA" w:rsidRDefault="007339CA" w:rsidP="00541AD1">
      <w:pPr>
        <w:pStyle w:val="ListParagraph"/>
        <w:numPr>
          <w:ilvl w:val="0"/>
          <w:numId w:val="73"/>
        </w:numPr>
        <w:autoSpaceDE w:val="0"/>
        <w:autoSpaceDN w:val="0"/>
        <w:adjustRightInd w:val="0"/>
        <w:spacing w:after="0" w:line="240" w:lineRule="auto"/>
        <w:jc w:val="both"/>
        <w:rPr>
          <w:rFonts w:ascii="Times New Roman" w:hAnsi="Times New Roman" w:cs="Times New Roman"/>
          <w:bCs/>
          <w:sz w:val="28"/>
          <w:szCs w:val="28"/>
        </w:rPr>
      </w:pPr>
      <w:r w:rsidRPr="007339CA">
        <w:rPr>
          <w:rFonts w:ascii="Times New Roman" w:hAnsi="Times New Roman" w:cs="Times New Roman"/>
          <w:bCs/>
          <w:sz w:val="28"/>
          <w:szCs w:val="28"/>
        </w:rPr>
        <w:t>д</w:t>
      </w:r>
      <w:r w:rsidR="004251D1" w:rsidRPr="007339CA">
        <w:rPr>
          <w:rFonts w:ascii="Times New Roman" w:hAnsi="Times New Roman" w:cs="Times New Roman"/>
          <w:bCs/>
          <w:sz w:val="28"/>
          <w:szCs w:val="28"/>
        </w:rPr>
        <w:t xml:space="preserve">окумент за внесен данък. </w:t>
      </w:r>
    </w:p>
    <w:p w14:paraId="778FB0CE"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Ако вносителят не е регистрирано лице, той се разглежда като краен потребител и данъчен кредит не се признава. </w:t>
      </w:r>
    </w:p>
    <w:p w14:paraId="5E7EB84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3E6FABB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5D1A9ED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Задача: Търговец внася от Турция 1000 броя от стока Х по цена 50 Евро. Курсът на еврото за целите на митническото облагане е 1,95. Трябва да се определи дължимата сума от търговеца на държавата. </w:t>
      </w:r>
    </w:p>
    <w:p w14:paraId="614C430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Стойност на стоката по импортната фактура: </w:t>
      </w:r>
    </w:p>
    <w:p w14:paraId="45B4EBE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1000 бр. х 50  = 50 000 Евро </w:t>
      </w:r>
    </w:p>
    <w:p w14:paraId="48CA5D13"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Митническа облагаема стойност: </w:t>
      </w:r>
    </w:p>
    <w:p w14:paraId="1661742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50 000 Евро х 1.95 лв./Евро = 97500 лв. </w:t>
      </w:r>
    </w:p>
    <w:p w14:paraId="33B2A6C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Мито 15%: </w:t>
      </w:r>
    </w:p>
    <w:p w14:paraId="67B43418"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15 % х 975 00 = 14625 лв. </w:t>
      </w:r>
    </w:p>
    <w:p w14:paraId="073F71D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27FECE8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7546A65A"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Облагаема основа за ДДС: </w:t>
      </w:r>
    </w:p>
    <w:p w14:paraId="3268AE3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97500 + 14625 = 112125 лв. </w:t>
      </w:r>
    </w:p>
    <w:p w14:paraId="74EFBCC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Към тази сума се прибавя и стойността на евентуалния акциз, върху който също се начислява ДДС. </w:t>
      </w:r>
    </w:p>
    <w:p w14:paraId="2C293D5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Дължима стойност на ДДС: </w:t>
      </w:r>
    </w:p>
    <w:p w14:paraId="4522E49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20 % от 112125 = 22425 лв. </w:t>
      </w:r>
    </w:p>
    <w:p w14:paraId="66A807E3"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Обща сума на дължимите плащания при освобождаване от митницата: </w:t>
      </w:r>
    </w:p>
    <w:p w14:paraId="57436E8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14625 + 22425 = 37050 лв. </w:t>
      </w:r>
    </w:p>
    <w:p w14:paraId="50F4DDF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Надценка над импортната цена в резултат на дължимите плащания при освобождаване от митницата: </w:t>
      </w:r>
    </w:p>
    <w:p w14:paraId="5CF3C57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37 050 : 1000 бр. = 37 лв. </w:t>
      </w:r>
    </w:p>
    <w:p w14:paraId="0EEB285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или 37 от 50Евро х 1.95 лв. х 100 % = 38 % </w:t>
      </w:r>
    </w:p>
    <w:p w14:paraId="6E768D3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551405AA" w14:textId="2DA8D8D1"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косвеното регулиране на импортните цени се използват също така: </w:t>
      </w:r>
    </w:p>
    <w:p w14:paraId="7C2A3BAC" w14:textId="77777777" w:rsidR="004251D1" w:rsidRPr="00D00AA2" w:rsidRDefault="004251D1" w:rsidP="00541AD1">
      <w:pPr>
        <w:pStyle w:val="ListParagraph"/>
        <w:numPr>
          <w:ilvl w:val="0"/>
          <w:numId w:val="74"/>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квоти за внос и лицензиране на вноса. Влиянието върху цените е предимно косвено чрез съотношението между търсенето и предлагането. По този начин се осигурява стабилизиране на цените на вътрешния пазар; </w:t>
      </w:r>
    </w:p>
    <w:p w14:paraId="7B402B6B" w14:textId="77777777" w:rsidR="004251D1" w:rsidRPr="00D00AA2" w:rsidRDefault="004251D1" w:rsidP="00541AD1">
      <w:pPr>
        <w:pStyle w:val="ListParagraph"/>
        <w:numPr>
          <w:ilvl w:val="0"/>
          <w:numId w:val="74"/>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временни забрани за внос; </w:t>
      </w:r>
    </w:p>
    <w:p w14:paraId="67CEA47A" w14:textId="77777777" w:rsidR="004251D1" w:rsidRPr="00D00AA2" w:rsidRDefault="004251D1" w:rsidP="00541AD1">
      <w:pPr>
        <w:pStyle w:val="ListParagraph"/>
        <w:numPr>
          <w:ilvl w:val="0"/>
          <w:numId w:val="74"/>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импортни такси; </w:t>
      </w:r>
    </w:p>
    <w:p w14:paraId="7D88B8DA" w14:textId="77777777" w:rsidR="004251D1" w:rsidRPr="00D00AA2" w:rsidRDefault="004251D1" w:rsidP="00541AD1">
      <w:pPr>
        <w:pStyle w:val="ListParagraph"/>
        <w:numPr>
          <w:ilvl w:val="0"/>
          <w:numId w:val="74"/>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временни допълнителни мита и такси. </w:t>
      </w:r>
    </w:p>
    <w:p w14:paraId="01288FEA"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Компенсационните такси в Европейския съюз служат като изравнителен инструмент за неутрализиране на конкурентоспособността на вносителите спрямо местните производители. Действието им се допълва и от други специални ценови надбавки. В европейската интеграционна политика чрез тези инструменти в областта на ценообразуването се постига </w:t>
      </w:r>
      <w:r w:rsidRPr="004251D1">
        <w:rPr>
          <w:rFonts w:ascii="Times New Roman" w:hAnsi="Times New Roman" w:cs="Times New Roman"/>
          <w:bCs/>
          <w:sz w:val="28"/>
          <w:szCs w:val="28"/>
        </w:rPr>
        <w:lastRenderedPageBreak/>
        <w:t xml:space="preserve">и обособяване на пазара на страните от Европейския съюз от световния пазар. </w:t>
      </w:r>
    </w:p>
    <w:p w14:paraId="0C25BC48" w14:textId="48702448"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D00AA2">
        <w:rPr>
          <w:rFonts w:ascii="Times New Roman" w:hAnsi="Times New Roman" w:cs="Times New Roman"/>
          <w:b/>
          <w:bCs/>
          <w:sz w:val="28"/>
          <w:szCs w:val="28"/>
        </w:rPr>
        <w:t>Инструментариумът за регулиране на експортните цени също е много разнообразен</w:t>
      </w:r>
      <w:r w:rsidRPr="004251D1">
        <w:rPr>
          <w:rFonts w:ascii="Times New Roman" w:hAnsi="Times New Roman" w:cs="Times New Roman"/>
          <w:bCs/>
          <w:sz w:val="28"/>
          <w:szCs w:val="28"/>
        </w:rPr>
        <w:t xml:space="preserve">. Неговото използване обаче предполага сериозни финансови възможности на правителството за подпомагане на износителите на външните пазари: </w:t>
      </w:r>
    </w:p>
    <w:p w14:paraId="1EB4D972" w14:textId="77777777" w:rsidR="004251D1" w:rsidRPr="00D00AA2" w:rsidRDefault="004251D1" w:rsidP="00541AD1">
      <w:pPr>
        <w:pStyle w:val="ListParagraph"/>
        <w:numPr>
          <w:ilvl w:val="0"/>
          <w:numId w:val="75"/>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експортни субсидии. Това е класическият вариант за стимулиране на износа; </w:t>
      </w:r>
    </w:p>
    <w:p w14:paraId="1B06ADBD" w14:textId="77777777" w:rsidR="004251D1" w:rsidRPr="00D00AA2" w:rsidRDefault="004251D1" w:rsidP="00541AD1">
      <w:pPr>
        <w:pStyle w:val="ListParagraph"/>
        <w:numPr>
          <w:ilvl w:val="0"/>
          <w:numId w:val="75"/>
        </w:numPr>
        <w:autoSpaceDE w:val="0"/>
        <w:autoSpaceDN w:val="0"/>
        <w:adjustRightInd w:val="0"/>
        <w:spacing w:after="0" w:line="240" w:lineRule="auto"/>
        <w:jc w:val="both"/>
        <w:rPr>
          <w:rFonts w:ascii="Times New Roman" w:hAnsi="Times New Roman" w:cs="Times New Roman"/>
          <w:bCs/>
          <w:sz w:val="28"/>
          <w:szCs w:val="28"/>
        </w:rPr>
      </w:pPr>
      <w:r w:rsidRPr="00D00AA2">
        <w:rPr>
          <w:rFonts w:ascii="Times New Roman" w:hAnsi="Times New Roman" w:cs="Times New Roman"/>
          <w:bCs/>
          <w:sz w:val="28"/>
          <w:szCs w:val="28"/>
        </w:rPr>
        <w:t xml:space="preserve">чрез покриване на ценовите разлики между по-високите вътрешни цени и по-ниските международни цени на изнасяните стоки. С тази парична помощ износителят става конкурентоспособен и може да провежда настъпателна политика на външните пазари. </w:t>
      </w:r>
    </w:p>
    <w:p w14:paraId="6A43FA25" w14:textId="3ECF2942"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Непосредственото субсидиране на износа засяга силно интересите на чуждестранните конкуренти. В резултат на многостранните търговски преговори между страните-членки на Общото споразумение за митата и търговията (ГАТТ), преобразувано в Световна търговска организация, експортното субсидиране се допуска само за селскостопански продукти</w:t>
      </w:r>
      <w:r w:rsidR="00301E09">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4CE054C4" w14:textId="77777777" w:rsidR="004251D1" w:rsidRPr="00301E09" w:rsidRDefault="004251D1" w:rsidP="00541AD1">
      <w:pPr>
        <w:pStyle w:val="ListParagraph"/>
        <w:numPr>
          <w:ilvl w:val="0"/>
          <w:numId w:val="76"/>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чрез увеличаване на курсовите разлики между националната парична единица и чуждите валути. Това се постига, като се обезценява националната валута. Стимулиращият ефект влияе върху целия износ. Срещу придобитата валута от износа се получава по-голяма левова равностойност, когато курсът на националната валута спада. Този ефект обаче бързо се стопява от ускоряването на вносната инфлация. В този смисъл стимулиращият ефект от обезценяването на националната парична единица е по-скоро страничен ефект от състоянието на националния валутен пазар; </w:t>
      </w:r>
    </w:p>
    <w:p w14:paraId="5520B3FA" w14:textId="77777777" w:rsidR="004251D1" w:rsidRPr="00301E09" w:rsidRDefault="004251D1" w:rsidP="00541AD1">
      <w:pPr>
        <w:pStyle w:val="ListParagraph"/>
        <w:numPr>
          <w:ilvl w:val="0"/>
          <w:numId w:val="76"/>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чрез субсидиране на разходите за производство. В резултат на това косвено се влияе и върху експортните цени. Такъв характер имат следните инструменти за държавно регулиране: </w:t>
      </w:r>
    </w:p>
    <w:p w14:paraId="62A5505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освобождаване от мита и такси на временния внос на суровини, материали, възли и детайли, които се използват за производство на стоки на ишлеме и след това отново се изнасят; </w:t>
      </w:r>
    </w:p>
    <w:p w14:paraId="7B070CB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предоставяне на субсидии на производители за покриване на ценови разлики при вноса на суровини и енергийни източници между техните вътрешни и международни цени; </w:t>
      </w:r>
    </w:p>
    <w:p w14:paraId="58809C47"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субсидиране на научноизследователската и развойната дейност на износителите, поемане на част от транспортните разходи; </w:t>
      </w:r>
    </w:p>
    <w:p w14:paraId="58F8461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връщане на косвени данъци, които се съдържат в цените на високотехнологично оборудване, предназначено за производство на експортни стоки; </w:t>
      </w:r>
    </w:p>
    <w:p w14:paraId="47A64C61" w14:textId="63E3281F"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чрез субсидиране на печалбата на износителите. Печалбата, която се инвестира за разширяване на експортните мощности, се освобождава от данъци</w:t>
      </w:r>
      <w:r w:rsidR="00301E09">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51CD058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ускорената амортизация увеличава себестойността и намалява облагаемата печалба и дължимите данъци; </w:t>
      </w:r>
    </w:p>
    <w:p w14:paraId="4159A8D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кредитни стимули се предоставят под формата на системи за гарантиране на експортните кредити; </w:t>
      </w:r>
    </w:p>
    <w:p w14:paraId="27AE2A2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облекчават се условията на правителствени кредити за износителите. </w:t>
      </w:r>
    </w:p>
    <w:p w14:paraId="5F94C86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9D9F3C2" w14:textId="3B8D7915" w:rsidR="004251D1"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9.4. </w:t>
      </w:r>
      <w:r w:rsidR="004251D1" w:rsidRPr="00D002EF">
        <w:rPr>
          <w:rFonts w:ascii="Times New Roman" w:hAnsi="Times New Roman" w:cs="Times New Roman"/>
          <w:b/>
          <w:bCs/>
          <w:sz w:val="28"/>
          <w:szCs w:val="28"/>
        </w:rPr>
        <w:t xml:space="preserve">Държавен контрол върху цените и ценообразуването </w:t>
      </w:r>
    </w:p>
    <w:p w14:paraId="69694479"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0674BE7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Той се обуславя от необходимостта държавата да следи и да осигурява спазването на законите и на другите нормативни актове в тази област. Чрез контрола се установяват промените в условията за регулиране, предприемат се мерки за усъвършенстване на нормативната база. </w:t>
      </w:r>
    </w:p>
    <w:p w14:paraId="47BC5D6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Централните и местните органи на държавна власт имат в някаква степен отношение към контрола върху цените и ценообразуването – Министерски съвет, отраслови и функционални министерства и ведомства, областни и общински съвети. </w:t>
      </w:r>
    </w:p>
    <w:p w14:paraId="089D4345" w14:textId="77777777" w:rsidR="00301E09" w:rsidRDefault="00301E09"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Контролът обхваща: </w:t>
      </w:r>
    </w:p>
    <w:p w14:paraId="2059429E" w14:textId="142A5927" w:rsidR="004251D1" w:rsidRPr="00301E09" w:rsidRDefault="004251D1" w:rsidP="00541AD1">
      <w:pPr>
        <w:pStyle w:val="ListParagraph"/>
        <w:numPr>
          <w:ilvl w:val="0"/>
          <w:numId w:val="77"/>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наблюдение на фиксираните и на пределните цени; </w:t>
      </w:r>
    </w:p>
    <w:p w14:paraId="4F63A49B" w14:textId="77777777" w:rsidR="00301E09" w:rsidRPr="00301E09" w:rsidRDefault="004251D1" w:rsidP="00541AD1">
      <w:pPr>
        <w:pStyle w:val="ListParagraph"/>
        <w:numPr>
          <w:ilvl w:val="0"/>
          <w:numId w:val="77"/>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определяне на правата и на задълженията на </w:t>
      </w:r>
      <w:r w:rsidR="00301E09" w:rsidRPr="00301E09">
        <w:rPr>
          <w:rFonts w:ascii="Times New Roman" w:hAnsi="Times New Roman" w:cs="Times New Roman"/>
          <w:bCs/>
          <w:sz w:val="28"/>
          <w:szCs w:val="28"/>
        </w:rPr>
        <w:t xml:space="preserve">контролните органи по цените; </w:t>
      </w:r>
    </w:p>
    <w:p w14:paraId="2B5A6D86" w14:textId="77777777" w:rsidR="00301E09" w:rsidRPr="00301E09" w:rsidRDefault="004251D1" w:rsidP="00541AD1">
      <w:pPr>
        <w:pStyle w:val="ListParagraph"/>
        <w:numPr>
          <w:ilvl w:val="0"/>
          <w:numId w:val="77"/>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установяване на неправомерните доходи от неп</w:t>
      </w:r>
      <w:r w:rsidR="00301E09" w:rsidRPr="00301E09">
        <w:rPr>
          <w:rFonts w:ascii="Times New Roman" w:hAnsi="Times New Roman" w:cs="Times New Roman"/>
          <w:bCs/>
          <w:sz w:val="28"/>
          <w:szCs w:val="28"/>
        </w:rPr>
        <w:t xml:space="preserve">равилно образуване на цените; </w:t>
      </w:r>
    </w:p>
    <w:p w14:paraId="1B5D7254" w14:textId="47286B6C" w:rsidR="004251D1" w:rsidRPr="00301E09" w:rsidRDefault="004251D1" w:rsidP="00541AD1">
      <w:pPr>
        <w:pStyle w:val="ListParagraph"/>
        <w:numPr>
          <w:ilvl w:val="0"/>
          <w:numId w:val="77"/>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санкциониране на нарушителите. </w:t>
      </w:r>
    </w:p>
    <w:p w14:paraId="6AF7CC9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Освен специализираните държавни органи по цените контролна дейност върху цените и ценообразуването извършват: </w:t>
      </w:r>
    </w:p>
    <w:p w14:paraId="7DFA82A3" w14:textId="77777777" w:rsidR="00301E09" w:rsidRPr="00301E09" w:rsidRDefault="004251D1" w:rsidP="00541AD1">
      <w:pPr>
        <w:pStyle w:val="ListParagraph"/>
        <w:numPr>
          <w:ilvl w:val="0"/>
          <w:numId w:val="78"/>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отрасловите министерства и ведомства. Те определят държавните такси за услуги</w:t>
      </w:r>
      <w:r w:rsidR="00301E09" w:rsidRPr="00301E09">
        <w:rPr>
          <w:rFonts w:ascii="Times New Roman" w:hAnsi="Times New Roman" w:cs="Times New Roman"/>
          <w:bCs/>
          <w:sz w:val="28"/>
          <w:szCs w:val="28"/>
        </w:rPr>
        <w:t>;</w:t>
      </w:r>
    </w:p>
    <w:p w14:paraId="3F6FBE87" w14:textId="6584C929" w:rsidR="004251D1" w:rsidRPr="00301E09" w:rsidRDefault="004251D1" w:rsidP="00541AD1">
      <w:pPr>
        <w:pStyle w:val="ListParagraph"/>
        <w:numPr>
          <w:ilvl w:val="0"/>
          <w:numId w:val="78"/>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Министерството на финансите по отношение на плащаните мита, данъци, акцизи</w:t>
      </w:r>
      <w:r w:rsidR="00301E09" w:rsidRPr="00301E09">
        <w:rPr>
          <w:rFonts w:ascii="Times New Roman" w:hAnsi="Times New Roman" w:cs="Times New Roman"/>
          <w:bCs/>
          <w:sz w:val="28"/>
          <w:szCs w:val="28"/>
        </w:rPr>
        <w:t>;</w:t>
      </w:r>
      <w:r w:rsidRPr="00301E09">
        <w:rPr>
          <w:rFonts w:ascii="Times New Roman" w:hAnsi="Times New Roman" w:cs="Times New Roman"/>
          <w:bCs/>
          <w:sz w:val="28"/>
          <w:szCs w:val="28"/>
        </w:rPr>
        <w:t xml:space="preserve"> </w:t>
      </w:r>
    </w:p>
    <w:p w14:paraId="3CED1197" w14:textId="615113ED" w:rsidR="004251D1" w:rsidRPr="00301E09" w:rsidRDefault="004251D1" w:rsidP="00541AD1">
      <w:pPr>
        <w:pStyle w:val="ListParagraph"/>
        <w:numPr>
          <w:ilvl w:val="0"/>
          <w:numId w:val="78"/>
        </w:numPr>
        <w:autoSpaceDE w:val="0"/>
        <w:autoSpaceDN w:val="0"/>
        <w:adjustRightInd w:val="0"/>
        <w:spacing w:after="0" w:line="240" w:lineRule="auto"/>
        <w:jc w:val="both"/>
        <w:rPr>
          <w:rFonts w:ascii="Times New Roman" w:hAnsi="Times New Roman" w:cs="Times New Roman"/>
          <w:bCs/>
          <w:sz w:val="28"/>
          <w:szCs w:val="28"/>
        </w:rPr>
      </w:pPr>
      <w:r w:rsidRPr="00301E09">
        <w:rPr>
          <w:rFonts w:ascii="Times New Roman" w:hAnsi="Times New Roman" w:cs="Times New Roman"/>
          <w:bCs/>
          <w:sz w:val="28"/>
          <w:szCs w:val="28"/>
        </w:rPr>
        <w:t xml:space="preserve">Комитетът по стандартизация, сертификация и метрология във връзка с качеството на стоките, продавани по определени цени. </w:t>
      </w:r>
    </w:p>
    <w:p w14:paraId="6DC8B1CF"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Държавният контрол върху цените се допълва от обществен и от вътрешноведомствен контрол. </w:t>
      </w:r>
    </w:p>
    <w:p w14:paraId="6383956C" w14:textId="77777777" w:rsidR="00184F64"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376DDF20" w14:textId="3807744A" w:rsidR="00184F64" w:rsidRDefault="00184F64">
      <w:pPr>
        <w:rPr>
          <w:rFonts w:ascii="Times New Roman" w:hAnsi="Times New Roman" w:cs="Times New Roman"/>
          <w:bCs/>
          <w:sz w:val="28"/>
          <w:szCs w:val="28"/>
        </w:rPr>
      </w:pPr>
      <w:bookmarkStart w:id="0" w:name="_GoBack"/>
      <w:bookmarkEnd w:id="0"/>
    </w:p>
    <w:sectPr w:rsidR="00184F64" w:rsidSect="00BF5FFC">
      <w:headerReference w:type="even" r:id="rId9"/>
      <w:headerReference w:type="default" r:id="rId10"/>
      <w:head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C4BC" w14:textId="77777777" w:rsidR="00E9291B" w:rsidRDefault="00E9291B">
      <w:pPr>
        <w:spacing w:after="0" w:line="240" w:lineRule="auto"/>
      </w:pPr>
      <w:r>
        <w:separator/>
      </w:r>
    </w:p>
  </w:endnote>
  <w:endnote w:type="continuationSeparator" w:id="0">
    <w:p w14:paraId="3A109DAD" w14:textId="77777777" w:rsidR="00E9291B" w:rsidRDefault="00E9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4599" w14:textId="77777777" w:rsidR="00E9291B" w:rsidRDefault="00E9291B">
      <w:pPr>
        <w:spacing w:after="0" w:line="240" w:lineRule="auto"/>
      </w:pPr>
      <w:r>
        <w:separator/>
      </w:r>
    </w:p>
  </w:footnote>
  <w:footnote w:type="continuationSeparator" w:id="0">
    <w:p w14:paraId="4CFA451E" w14:textId="77777777" w:rsidR="00E9291B" w:rsidRDefault="00E92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DE70" w14:textId="77777777" w:rsidR="00184F64" w:rsidRDefault="00184F64">
    <w:pPr>
      <w:spacing w:after="0"/>
      <w:ind w:left="283"/>
    </w:pPr>
    <w:r>
      <w:rPr>
        <w:sz w:val="8"/>
      </w:rPr>
      <w:t>l</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0F5C" w14:textId="77777777" w:rsidR="00184F64" w:rsidRDefault="00184F64">
    <w:pPr>
      <w:spacing w:after="0"/>
      <w:ind w:left="283"/>
    </w:pPr>
    <w:r>
      <w:rPr>
        <w:sz w:val="8"/>
      </w:rPr>
      <w:t>l</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9478" w14:textId="77777777" w:rsidR="00184F64" w:rsidRDefault="00184F64">
    <w:pPr>
      <w:spacing w:after="0"/>
      <w:ind w:left="283"/>
    </w:pPr>
    <w:r>
      <w:rPr>
        <w:sz w:val="8"/>
      </w:rPr>
      <w:t>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D0D8D"/>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09B4"/>
    <w:rsid w:val="002423C0"/>
    <w:rsid w:val="002430BC"/>
    <w:rsid w:val="00243243"/>
    <w:rsid w:val="00244E0B"/>
    <w:rsid w:val="00246C41"/>
    <w:rsid w:val="0024713D"/>
    <w:rsid w:val="0025427F"/>
    <w:rsid w:val="002557F1"/>
    <w:rsid w:val="00255881"/>
    <w:rsid w:val="00260BCF"/>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4E9A"/>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05C6"/>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125E"/>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57799"/>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1E8E"/>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4436"/>
    <w:rsid w:val="00E15A85"/>
    <w:rsid w:val="00E216E5"/>
    <w:rsid w:val="00E21A4E"/>
    <w:rsid w:val="00E25983"/>
    <w:rsid w:val="00E26856"/>
    <w:rsid w:val="00E271A6"/>
    <w:rsid w:val="00E3340C"/>
    <w:rsid w:val="00E36E75"/>
    <w:rsid w:val="00E40829"/>
    <w:rsid w:val="00E42565"/>
    <w:rsid w:val="00E451E8"/>
    <w:rsid w:val="00E47407"/>
    <w:rsid w:val="00E475E3"/>
    <w:rsid w:val="00E62EE0"/>
    <w:rsid w:val="00E638DA"/>
    <w:rsid w:val="00E6726B"/>
    <w:rsid w:val="00E76BBF"/>
    <w:rsid w:val="00E80FA9"/>
    <w:rsid w:val="00E814B7"/>
    <w:rsid w:val="00E84A46"/>
    <w:rsid w:val="00E84D91"/>
    <w:rsid w:val="00E9291B"/>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2F22"/>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5DEF-4440-41DC-BC06-403B2B2A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2017-01-14T16:42:00Z</dcterms:created>
  <dcterms:modified xsi:type="dcterms:W3CDTF">2017-01-14T16:42:00Z</dcterms:modified>
</cp:coreProperties>
</file>